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626C" w14:textId="77777777" w:rsidR="00A404C1"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A8A98CF" w14:textId="77777777" w:rsidR="00A404C1" w:rsidRDefault="00000000">
      <w:pPr>
        <w:widowControl w:val="0"/>
        <w:spacing w:line="480" w:lineRule="exact"/>
        <w:ind w:rightChars="-42" w:right="-101"/>
        <w:jc w:val="center"/>
        <w:rPr>
          <w:b/>
          <w:sz w:val="32"/>
        </w:rPr>
      </w:pPr>
      <w:r>
        <w:rPr>
          <w:rFonts w:hint="eastAsia"/>
          <w:b/>
          <w:sz w:val="32"/>
        </w:rPr>
        <w:t>第4期</w:t>
      </w:r>
    </w:p>
    <w:p w14:paraId="2215134B" w14:textId="77777777" w:rsidR="00A404C1" w:rsidRDefault="00A404C1">
      <w:pPr>
        <w:widowControl w:val="0"/>
        <w:spacing w:line="480" w:lineRule="exact"/>
        <w:ind w:rightChars="-42" w:right="-101"/>
        <w:jc w:val="center"/>
        <w:rPr>
          <w:b/>
          <w:sz w:val="32"/>
        </w:rPr>
      </w:pPr>
    </w:p>
    <w:p w14:paraId="1D91F2C6" w14:textId="77777777" w:rsidR="00A404C1"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031B5732" w14:textId="24A4C28B" w:rsidR="00A404C1"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23年2</w:t>
      </w:r>
      <w:r w:rsidR="00783B8B">
        <w:rPr>
          <w:rFonts w:ascii="楷体_GB2312" w:eastAsia="楷体_GB2312" w:hint="eastAsia"/>
          <w:spacing w:val="-14"/>
          <w:sz w:val="28"/>
          <w:u w:val="single" w:color="FF0000"/>
        </w:rPr>
        <w:t>月</w:t>
      </w:r>
      <w:r w:rsidR="00783B8B">
        <w:rPr>
          <w:rFonts w:ascii="楷体_GB2312" w:eastAsia="楷体_GB2312"/>
          <w:spacing w:val="-14"/>
          <w:sz w:val="28"/>
          <w:u w:val="single" w:color="FF0000"/>
        </w:rPr>
        <w:t>13</w:t>
      </w:r>
      <w:r>
        <w:rPr>
          <w:rFonts w:ascii="楷体_GB2312" w:eastAsia="楷体_GB2312" w:hint="eastAsia"/>
          <w:spacing w:val="-14"/>
          <w:sz w:val="28"/>
          <w:u w:val="single" w:color="FF0000"/>
        </w:rPr>
        <w:t>日</w:t>
      </w:r>
    </w:p>
    <w:p w14:paraId="4AECD4A8" w14:textId="77777777" w:rsidR="00A404C1" w:rsidRDefault="00A404C1">
      <w:pPr>
        <w:pStyle w:val="2"/>
        <w:widowControl w:val="0"/>
      </w:pPr>
    </w:p>
    <w:p w14:paraId="7AA71369" w14:textId="77777777" w:rsidR="00A404C1" w:rsidRDefault="00000000">
      <w:pPr>
        <w:widowControl w:val="0"/>
        <w:numPr>
          <w:ilvl w:val="0"/>
          <w:numId w:val="1"/>
        </w:numPr>
        <w:spacing w:afterLines="50" w:after="156"/>
        <w:ind w:rightChars="-42" w:right="-101"/>
      </w:pPr>
      <w:r>
        <w:rPr>
          <w:rFonts w:ascii="Times New Roman" w:eastAsia="楷体_GB2312" w:hAnsi="Times New Roman" w:hint="eastAsia"/>
          <w:b/>
          <w:bCs/>
          <w:sz w:val="32"/>
          <w:szCs w:val="32"/>
        </w:rPr>
        <w:t>重要动态</w:t>
      </w:r>
    </w:p>
    <w:p w14:paraId="76A0A6F1"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2023</w:t>
      </w:r>
      <w:r>
        <w:rPr>
          <w:rFonts w:ascii="Times New Roman" w:eastAsia="华文中宋" w:hAnsi="Times New Roman" w:cs="华文中宋" w:hint="eastAsia"/>
          <w:sz w:val="36"/>
          <w:szCs w:val="36"/>
          <w:shd w:val="clear" w:color="auto" w:fill="FFFFFF"/>
          <w:lang w:bidi="ar"/>
        </w:rPr>
        <w:t>年上海市国资国企改革发展暨</w:t>
      </w:r>
    </w:p>
    <w:p w14:paraId="0C3158E0"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党建工作会议召开</w:t>
      </w:r>
    </w:p>
    <w:p w14:paraId="5C2B3D73" w14:textId="77777777" w:rsidR="00A404C1"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日前，</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年上海市国资国企改革发展暨党建工作会议召开，上海市副市长李政出席会议并讲话。</w:t>
      </w:r>
    </w:p>
    <w:p w14:paraId="01E147D6" w14:textId="77777777" w:rsidR="00A404C1"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会议充分肯定了</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市国资国企改革发展和党建各项工作取得的积极成效。面对百年变局和世纪疫情交织叠加的考验，上海国资国企坚持稳中求进，深化改革创新，国企党建水平进一步提升，服从服务大局贡献突出，重大改革任务圆满收官，国有资本布局不断优化，国资系统生产、经营等各领域总体安全稳定。</w:t>
      </w:r>
    </w:p>
    <w:p w14:paraId="3A8D952A" w14:textId="77777777" w:rsidR="00A404C1"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年是全面贯彻落实党的二十大精神的开局之年，是实施“十四五”规划承上启下的关键一年。市国</w:t>
      </w:r>
      <w:r>
        <w:rPr>
          <w:rFonts w:ascii="Times New Roman" w:eastAsia="仿宋_GB2312" w:hAnsi="Times New Roman" w:hint="eastAsia"/>
          <w:sz w:val="32"/>
          <w:szCs w:val="32"/>
          <w:lang w:bidi="ar"/>
        </w:rPr>
        <w:lastRenderedPageBreak/>
        <w:t>资系统上下要把思想和行动统一到党中央国务院、市委市政府的认识判断和决策部署上来，持续推进改革发展和党的建设各项工作。要着力抓好国资国企改革发展的重点任务，加快推进改革创新，突出抓好世界一流企业建设；主动服务重大战略任务，突出抓好布局优化调整；紧紧围绕专业高效，突出抓好国资管理能级提升。要切实加强党对国资国企工作的全面领导，深刻领悟“两个确立”的重要意义，切实加强政治建设；弘扬企业家精神，打造高素质的国资国企人才队伍；坚持严的总基调，一刻不停推进全面从严治党。</w:t>
      </w:r>
    </w:p>
    <w:p w14:paraId="64A03D7B" w14:textId="77777777" w:rsidR="00A404C1"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对加强上海国企党建工作提出要求。要进一步加强国企党建工作，把学习宣传贯彻党的二十大精神作为首要政治任务抓紧抓实；把党的组织优势转化为发展优势，在围绕中心、服务大局上持续用力；将企业内部治理和外部治理紧密结合，更好融入国家治理体系大格局；抓好后继有人这个根本大计，打造高素质专业化的国企干部人才队伍。上海各级国企党组织和党员要踔厉奋发、勇毅前行，不断取得新成效、创造新经验、打造新样本，更好以高质量党建引领保障企业高质量发展。</w:t>
      </w:r>
    </w:p>
    <w:p w14:paraId="726384A0" w14:textId="77777777" w:rsidR="00A404C1"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上海国资国企将在市委、市政府坚强领导下，坚持稳中求进工作总基调，牢牢把握高质量发展主题，以推动国有经济提质增量为总目标，以建设世界一流企业为总抓手，以深化“</w:t>
      </w:r>
      <w:r>
        <w:rPr>
          <w:rFonts w:ascii="Times New Roman" w:eastAsia="仿宋_GB2312" w:hAnsi="Times New Roman" w:hint="eastAsia"/>
          <w:sz w:val="32"/>
          <w:szCs w:val="32"/>
          <w:lang w:bidi="ar"/>
        </w:rPr>
        <w:t>1+3+N</w:t>
      </w:r>
      <w:r>
        <w:rPr>
          <w:rFonts w:ascii="Times New Roman" w:eastAsia="仿宋_GB2312" w:hAnsi="Times New Roman" w:hint="eastAsia"/>
          <w:sz w:val="32"/>
          <w:szCs w:val="32"/>
          <w:lang w:bidi="ar"/>
        </w:rPr>
        <w:t>”国资管理体制改革为总推手，全面提升企业核</w:t>
      </w:r>
      <w:r>
        <w:rPr>
          <w:rFonts w:ascii="Times New Roman" w:eastAsia="仿宋_GB2312" w:hAnsi="Times New Roman" w:hint="eastAsia"/>
          <w:sz w:val="32"/>
          <w:szCs w:val="32"/>
          <w:lang w:bidi="ar"/>
        </w:rPr>
        <w:lastRenderedPageBreak/>
        <w:t>心竞争力、增强核心功能，努力推动国有资本和国有企业做强做优做大，力争全年主要经营指标增速</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以上，固定资产投资总额、在沪缴纳税费、重点行业等经济增长指标高于全市平均增速，为全力巩固上海经济回升向好的势头提供强有力的支撑、做出新的贡献。</w:t>
      </w:r>
    </w:p>
    <w:p w14:paraId="6EE3F25F" w14:textId="77777777" w:rsidR="00A404C1"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年上海国资国企将重点推进六个方面工作：</w:t>
      </w:r>
      <w:r>
        <w:rPr>
          <w:rFonts w:ascii="Times New Roman" w:eastAsia="仿宋_GB2312" w:hAnsi="Times New Roman" w:hint="eastAsia"/>
          <w:b/>
          <w:bCs/>
          <w:sz w:val="32"/>
          <w:szCs w:val="32"/>
          <w:lang w:bidi="ar"/>
        </w:rPr>
        <w:t>一是</w:t>
      </w:r>
      <w:r>
        <w:rPr>
          <w:rFonts w:ascii="Times New Roman" w:eastAsia="仿宋_GB2312" w:hAnsi="Times New Roman" w:hint="eastAsia"/>
          <w:sz w:val="32"/>
          <w:szCs w:val="32"/>
          <w:lang w:bidi="ar"/>
        </w:rPr>
        <w:t>全面从严治党，着力加强党的建设；</w:t>
      </w:r>
      <w:r>
        <w:rPr>
          <w:rFonts w:ascii="Times New Roman" w:eastAsia="仿宋_GB2312" w:hAnsi="Times New Roman" w:hint="eastAsia"/>
          <w:b/>
          <w:bCs/>
          <w:sz w:val="32"/>
          <w:szCs w:val="32"/>
          <w:lang w:bidi="ar"/>
        </w:rPr>
        <w:t>二是</w:t>
      </w:r>
      <w:r>
        <w:rPr>
          <w:rFonts w:ascii="Times New Roman" w:eastAsia="仿宋_GB2312" w:hAnsi="Times New Roman" w:hint="eastAsia"/>
          <w:sz w:val="32"/>
          <w:szCs w:val="32"/>
          <w:lang w:bidi="ar"/>
        </w:rPr>
        <w:t>坚持提质增效，着力推动高质量发展；</w:t>
      </w:r>
      <w:r>
        <w:rPr>
          <w:rFonts w:ascii="Times New Roman" w:eastAsia="仿宋_GB2312" w:hAnsi="Times New Roman" w:hint="eastAsia"/>
          <w:b/>
          <w:bCs/>
          <w:sz w:val="32"/>
          <w:szCs w:val="32"/>
          <w:lang w:bidi="ar"/>
        </w:rPr>
        <w:t>三是</w:t>
      </w:r>
      <w:r>
        <w:rPr>
          <w:rFonts w:ascii="Times New Roman" w:eastAsia="仿宋_GB2312" w:hAnsi="Times New Roman" w:hint="eastAsia"/>
          <w:sz w:val="32"/>
          <w:szCs w:val="32"/>
          <w:lang w:bidi="ar"/>
        </w:rPr>
        <w:t>聚焦转型发展，着力强化创新策源；</w:t>
      </w:r>
      <w:r>
        <w:rPr>
          <w:rFonts w:ascii="Times New Roman" w:eastAsia="仿宋_GB2312" w:hAnsi="Times New Roman" w:hint="eastAsia"/>
          <w:b/>
          <w:bCs/>
          <w:sz w:val="32"/>
          <w:szCs w:val="32"/>
          <w:lang w:bidi="ar"/>
        </w:rPr>
        <w:t>四是</w:t>
      </w:r>
      <w:r>
        <w:rPr>
          <w:rFonts w:ascii="Times New Roman" w:eastAsia="仿宋_GB2312" w:hAnsi="Times New Roman" w:hint="eastAsia"/>
          <w:sz w:val="32"/>
          <w:szCs w:val="32"/>
          <w:lang w:bidi="ar"/>
        </w:rPr>
        <w:t>服务融入大局，着力优化布局结构；</w:t>
      </w:r>
      <w:r>
        <w:rPr>
          <w:rFonts w:ascii="Times New Roman" w:eastAsia="仿宋_GB2312" w:hAnsi="Times New Roman" w:hint="eastAsia"/>
          <w:b/>
          <w:bCs/>
          <w:sz w:val="32"/>
          <w:szCs w:val="32"/>
          <w:lang w:bidi="ar"/>
        </w:rPr>
        <w:t>五是</w:t>
      </w:r>
      <w:r>
        <w:rPr>
          <w:rFonts w:ascii="Times New Roman" w:eastAsia="仿宋_GB2312" w:hAnsi="Times New Roman" w:hint="eastAsia"/>
          <w:sz w:val="32"/>
          <w:szCs w:val="32"/>
          <w:lang w:bidi="ar"/>
        </w:rPr>
        <w:t>建设一流企业，着力深化国企改革；</w:t>
      </w:r>
      <w:r>
        <w:rPr>
          <w:rFonts w:ascii="Times New Roman" w:eastAsia="仿宋_GB2312" w:hAnsi="Times New Roman" w:hint="eastAsia"/>
          <w:b/>
          <w:bCs/>
          <w:sz w:val="32"/>
          <w:szCs w:val="32"/>
          <w:lang w:bidi="ar"/>
        </w:rPr>
        <w:t>六是</w:t>
      </w:r>
      <w:r>
        <w:rPr>
          <w:rFonts w:ascii="Times New Roman" w:eastAsia="仿宋_GB2312" w:hAnsi="Times New Roman" w:hint="eastAsia"/>
          <w:sz w:val="32"/>
          <w:szCs w:val="32"/>
          <w:lang w:bidi="ar"/>
        </w:rPr>
        <w:t>深化职能转变，着力提升监管能级。（上海市国资委）</w:t>
      </w:r>
    </w:p>
    <w:p w14:paraId="39D61748" w14:textId="77777777" w:rsidR="00A404C1" w:rsidRDefault="00A404C1">
      <w:pPr>
        <w:pStyle w:val="20"/>
        <w:ind w:left="480" w:firstLine="640"/>
      </w:pPr>
    </w:p>
    <w:p w14:paraId="6547E6DE" w14:textId="77777777" w:rsidR="00A404C1" w:rsidRDefault="00000000">
      <w:pPr>
        <w:widowControl w:val="0"/>
        <w:numPr>
          <w:ilvl w:val="0"/>
          <w:numId w:val="1"/>
        </w:numPr>
        <w:spacing w:afterLines="50" w:after="156"/>
        <w:ind w:rightChars="-42" w:right="-101"/>
      </w:pPr>
      <w:r>
        <w:rPr>
          <w:rFonts w:ascii="Times New Roman" w:eastAsia="楷体_GB2312" w:hAnsi="Times New Roman" w:hint="eastAsia"/>
          <w:b/>
          <w:bCs/>
          <w:sz w:val="32"/>
          <w:szCs w:val="32"/>
        </w:rPr>
        <w:t>金融工作</w:t>
      </w:r>
    </w:p>
    <w:p w14:paraId="1270B7F4"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浦发银行、海通证券、东方证券等单位</w:t>
      </w:r>
    </w:p>
    <w:p w14:paraId="094DD54C"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荣获多项荣誉</w:t>
      </w:r>
    </w:p>
    <w:p w14:paraId="09FC8D4B" w14:textId="77777777" w:rsidR="00A404C1" w:rsidRDefault="00000000">
      <w:pPr>
        <w:pStyle w:val="2"/>
        <w:widowControl w:val="0"/>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近日，浦发银行信用卡中心、浦发银行养老金融项目案例、海通证券、申能集团旗下东方证券等分别荣获第三届长三角金融科技创新与应用全球大赛“金融机构最佳创新奖”、“第六届零售银行创新实践大奖”、全球银行品牌价值</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强、三大政策性银行“卓越承销商”“优秀做市商”“绿色低碳先锋奖”“市场拓展奖”等多个重量级奖项。</w:t>
      </w:r>
    </w:p>
    <w:p w14:paraId="38C53111" w14:textId="77777777" w:rsidR="00A404C1" w:rsidRDefault="00000000">
      <w:pPr>
        <w:pStyle w:val="2"/>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浦发银行总行信用卡中心</w:t>
      </w:r>
      <w:r>
        <w:rPr>
          <w:rFonts w:ascii="Times New Roman" w:eastAsia="仿宋_GB2312" w:hAnsi="Times New Roman" w:hint="eastAsia"/>
          <w:sz w:val="32"/>
          <w:szCs w:val="32"/>
          <w:lang w:bidi="ar"/>
        </w:rPr>
        <w:t>“基于自学习的智能决策中枢平台（小浦智慧大脑）”项目参加了中国通信学会金融科技与数字经济发展专家委员会、上海金融业联合会、上海市银行同业公会、华东师范大学等单位联合主办的“</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年金融科技创新与应用外滩论坛暨第三届长三角金融科技创新与应用全球大赛颁奖典礼”，并从</w:t>
      </w:r>
      <w:r>
        <w:rPr>
          <w:rFonts w:ascii="Times New Roman" w:eastAsia="仿宋_GB2312" w:hAnsi="Times New Roman" w:hint="eastAsia"/>
          <w:sz w:val="32"/>
          <w:szCs w:val="32"/>
          <w:lang w:bidi="ar"/>
        </w:rPr>
        <w:t>457</w:t>
      </w:r>
      <w:r>
        <w:rPr>
          <w:rFonts w:ascii="Times New Roman" w:eastAsia="仿宋_GB2312" w:hAnsi="Times New Roman" w:hint="eastAsia"/>
          <w:sz w:val="32"/>
          <w:szCs w:val="32"/>
          <w:lang w:bidi="ar"/>
        </w:rPr>
        <w:t>个候选项目中脱颖而出，连续第二年荣获“金融机构最佳创新奖”。项目以客户体验和数字科技为驱动，以科技价值为导向，立足客户全生命周期经营管理和风险防控，着力解决业务发展中的痛点难点，建立了统一的大数据智能决策与应用平台，推进了浦发信用卡业务全面数据智能化升级。</w:t>
      </w:r>
    </w:p>
    <w:p w14:paraId="7FF82334" w14:textId="77777777" w:rsidR="00A404C1" w:rsidRDefault="00000000">
      <w:pPr>
        <w:pStyle w:val="2"/>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浦发银行“养老金融”服务项目</w:t>
      </w:r>
      <w:r>
        <w:rPr>
          <w:rFonts w:ascii="Times New Roman" w:eastAsia="仿宋_GB2312" w:hAnsi="Times New Roman" w:hint="eastAsia"/>
          <w:sz w:val="32"/>
          <w:szCs w:val="32"/>
          <w:lang w:bidi="ar"/>
        </w:rPr>
        <w:t>参评由《零售银行》、《数字银行》共同举办的“第六届零售银行创新实践大奖”评选大赛，案例揽获“最佳场景金融创新奖”“最佳客群经营奖”两项大奖，融合产品、渠道、服务关爱养老金融客群。浦发银行践行“金融为民”的初心使命，以实际行动践行国家战略，服务“老有所养”的民生需求，围绕个人养老金业务，提前筹划、精心部署，首批完成个人养老金系统与平台建设，高质量通过了主管部门及金融平台各项验收，首批获得业务开办资质。</w:t>
      </w:r>
    </w:p>
    <w:p w14:paraId="6D6B6D69" w14:textId="77777777" w:rsidR="00A404C1" w:rsidRDefault="00000000">
      <w:pPr>
        <w:pStyle w:val="2"/>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海通证券</w:t>
      </w:r>
      <w:r>
        <w:rPr>
          <w:rFonts w:ascii="Times New Roman" w:eastAsia="仿宋_GB2312" w:hAnsi="Times New Roman" w:hint="eastAsia"/>
          <w:sz w:val="32"/>
          <w:szCs w:val="32"/>
          <w:lang w:bidi="ar"/>
        </w:rPr>
        <w:t>荣登由</w:t>
      </w:r>
      <w:r>
        <w:rPr>
          <w:rFonts w:ascii="Times New Roman" w:eastAsia="仿宋_GB2312" w:hAnsi="Times New Roman" w:hint="eastAsia"/>
          <w:sz w:val="32"/>
          <w:szCs w:val="32"/>
          <w:lang w:bidi="ar"/>
        </w:rPr>
        <w:t>Brand Finance</w:t>
      </w:r>
      <w:r>
        <w:rPr>
          <w:rFonts w:ascii="Times New Roman" w:eastAsia="仿宋_GB2312" w:hAnsi="Times New Roman" w:hint="eastAsia"/>
          <w:sz w:val="32"/>
          <w:szCs w:val="32"/>
          <w:lang w:bidi="ar"/>
        </w:rPr>
        <w:t>联合英国《银行家》杂志发布的“</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年全球银行品牌价值</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强”榜单，排名</w:t>
      </w:r>
      <w:r>
        <w:rPr>
          <w:rFonts w:ascii="Times New Roman" w:eastAsia="仿宋_GB2312" w:hAnsi="Times New Roman" w:hint="eastAsia"/>
          <w:sz w:val="32"/>
          <w:szCs w:val="32"/>
          <w:lang w:bidi="ar"/>
        </w:rPr>
        <w:t>133</w:t>
      </w:r>
      <w:r>
        <w:rPr>
          <w:rFonts w:ascii="Times New Roman" w:eastAsia="仿宋_GB2312" w:hAnsi="Times New Roman" w:hint="eastAsia"/>
          <w:sz w:val="32"/>
          <w:szCs w:val="32"/>
          <w:lang w:bidi="ar"/>
        </w:rPr>
        <w:lastRenderedPageBreak/>
        <w:t>位。海通证券坚持以党的二十大精神和上海市第十二次党代会精神为指引，以提升服务能力、推动高质量发展、创造高品质生活为导向，紧抓服务国家战略和实体经济主线，不断提升综合金融服务能力，完善品牌建设体系和机制，巩固提升“海通证券”优势品牌。</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年，公司保荐业务市场排名第三，企业债券承销市场排名第二。</w:t>
      </w:r>
    </w:p>
    <w:p w14:paraId="4D514829" w14:textId="77777777" w:rsidR="00A404C1" w:rsidRDefault="00000000">
      <w:pPr>
        <w:pStyle w:val="2"/>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申能集团旗下东方证券</w:t>
      </w:r>
      <w:r>
        <w:rPr>
          <w:rFonts w:ascii="Times New Roman" w:eastAsia="仿宋_GB2312" w:hAnsi="Times New Roman" w:hint="eastAsia"/>
          <w:sz w:val="32"/>
          <w:szCs w:val="32"/>
          <w:lang w:bidi="ar"/>
        </w:rPr>
        <w:t>在由国家开发银行、中国进出口银行、中国农业发展银行三大政策性银行对</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年度为政策性银行金融债发行做出卓越贡献的承销商表彰活动中，荣获</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度国家开发银行金融债“卓越承销商”“优秀做市商”“绿色低碳先锋奖”“市场拓展奖”四个机构奖项，其中凭借在绿色债券承销工作中的优异成绩成为国开行“绿色低碳先锋奖”唯一获奖券商；荣获中国进出口银行金融债“优秀做市交易商”“人民币国际化推进奖”两个机构奖项；荣获中国农业发展银行金融债“优秀承销机构”“最佳券商类机构”“优秀做市机构”“最佳创新合作”四个机构奖项。（浦发银行、海通证券、申能集团）</w:t>
      </w:r>
    </w:p>
    <w:p w14:paraId="424A1FD7" w14:textId="77777777" w:rsidR="00A404C1" w:rsidRDefault="00A404C1">
      <w:pPr>
        <w:widowControl w:val="0"/>
        <w:jc w:val="both"/>
        <w:rPr>
          <w:rFonts w:ascii="Times New Roman" w:eastAsia="仿宋_GB2312" w:hAnsi="Times New Roman" w:cs="仿宋_GB2312"/>
          <w:sz w:val="32"/>
          <w:szCs w:val="32"/>
          <w:shd w:val="clear" w:color="auto" w:fill="FFFFFF"/>
          <w:lang w:bidi="ar"/>
        </w:rPr>
      </w:pPr>
    </w:p>
    <w:p w14:paraId="30B457DE" w14:textId="77777777" w:rsidR="00A404C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119BB48C"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全球最大吨位氢能源矿卡交付</w:t>
      </w:r>
    </w:p>
    <w:p w14:paraId="1D6A0A9F" w14:textId="77777777" w:rsidR="00A404C1"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申能集团持续助力我国氢能产业化发展尽快实现</w:t>
      </w:r>
    </w:p>
    <w:p w14:paraId="08262C3D"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近日，由申能集团投资企业鲲华科技参与联合开发的全球最大吨位氢能源矿卡正式交付，这辆氢能源矿用宽体车搭载了鲲华科技提供的高性能氢燃料电池发动机系统，可显著降低车辆的运营成本。</w:t>
      </w:r>
    </w:p>
    <w:p w14:paraId="3B7BD5A9"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中联重科</w:t>
      </w:r>
      <w:r>
        <w:rPr>
          <w:rFonts w:ascii="Times New Roman" w:eastAsia="仿宋_GB2312" w:hAnsi="Times New Roman" w:hint="eastAsia"/>
          <w:sz w:val="32"/>
          <w:szCs w:val="32"/>
          <w:lang w:bidi="ar"/>
        </w:rPr>
        <w:t>ZT125FCEV</w:t>
      </w:r>
      <w:r>
        <w:rPr>
          <w:rFonts w:ascii="Times New Roman" w:eastAsia="仿宋_GB2312" w:hAnsi="Times New Roman" w:hint="eastAsia"/>
          <w:sz w:val="32"/>
          <w:szCs w:val="32"/>
          <w:lang w:bidi="ar"/>
        </w:rPr>
        <w:t>氢能源矿卡作为全球最大吨位氢能源宽体矿用自卸车，由中联矿机、闳臻智能、鲲华科技联合开发，搭载由鲲华科技提供的高性能氢燃料电池发动机系统，</w:t>
      </w:r>
      <w:proofErr w:type="spellStart"/>
      <w:r>
        <w:rPr>
          <w:rFonts w:ascii="Times New Roman" w:eastAsia="仿宋_GB2312" w:hAnsi="Times New Roman" w:hint="eastAsia"/>
          <w:sz w:val="32"/>
          <w:szCs w:val="32"/>
          <w:lang w:bidi="ar"/>
        </w:rPr>
        <w:t>ZT125FCEV</w:t>
      </w:r>
      <w:proofErr w:type="spellEnd"/>
      <w:r>
        <w:rPr>
          <w:rFonts w:ascii="Times New Roman" w:eastAsia="仿宋_GB2312" w:hAnsi="Times New Roman" w:hint="eastAsia"/>
          <w:sz w:val="32"/>
          <w:szCs w:val="32"/>
          <w:lang w:bidi="ar"/>
        </w:rPr>
        <w:t>是由鲲华科技配套的第一款氢能矿山机械应用。随着国家碳中和、可持续发展等政策的推动，绿色化、智慧化是新一代矿山的建设方向。鲲华科技将不断精进燃料电池系统的研发，联合矿山行业伙伴，推出多种氢能解决方案，助力矿山机械环保、节能、智能、高效发展。</w:t>
      </w:r>
    </w:p>
    <w:p w14:paraId="18C08266"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氢燃料电池汽车的应用推广不断取得新进展。氢能的储运也是申能集团落实氢能“三纵三横”发展战略、构建具有申能特色氢能全产业链上的重要一环。申能集团和法国彼欧集团近日在上海签署合作谅解备忘录，双方将成立合资公司，为我国商用车市场生产和提供三型及四型高压储氢瓶及储氢系统。作为国内较早布局氢能全产业链的地方能源企业，此举将进一步完善申能的氢能产业布局，发挥全产业链协同效应。“十四五”期间，申能集团将按照既定战略，形成氢能上中下游高端制造产业集群，努力构建具有申能特色的氢能全产业链，助力我国氢能尽快实现产业化发展、规</w:t>
      </w:r>
      <w:r>
        <w:rPr>
          <w:rFonts w:ascii="Times New Roman" w:eastAsia="仿宋_GB2312" w:hAnsi="Times New Roman" w:hint="eastAsia"/>
          <w:sz w:val="32"/>
          <w:szCs w:val="32"/>
          <w:lang w:bidi="ar"/>
        </w:rPr>
        <w:lastRenderedPageBreak/>
        <w:t>模化应用。（申能集团）</w:t>
      </w:r>
    </w:p>
    <w:p w14:paraId="2C5739E7" w14:textId="77777777" w:rsidR="00A404C1" w:rsidRDefault="00A404C1">
      <w:pPr>
        <w:pStyle w:val="2"/>
        <w:widowControl w:val="0"/>
      </w:pPr>
    </w:p>
    <w:p w14:paraId="29552B43"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华谊集团落实“</w:t>
      </w:r>
      <w:r>
        <w:rPr>
          <w:rFonts w:ascii="Times New Roman" w:eastAsia="华文中宋" w:hAnsi="Times New Roman" w:cs="华文中宋" w:hint="eastAsia"/>
          <w:sz w:val="36"/>
          <w:szCs w:val="36"/>
          <w:shd w:val="clear" w:color="auto" w:fill="FFFFFF"/>
          <w:lang w:bidi="ar"/>
        </w:rPr>
        <w:t>12345</w:t>
      </w:r>
      <w:r>
        <w:rPr>
          <w:rFonts w:ascii="Times New Roman" w:eastAsia="华文中宋" w:hAnsi="Times New Roman" w:cs="华文中宋" w:hint="eastAsia"/>
          <w:sz w:val="36"/>
          <w:szCs w:val="36"/>
          <w:shd w:val="clear" w:color="auto" w:fill="FFFFFF"/>
          <w:lang w:bidi="ar"/>
        </w:rPr>
        <w:t>双碳战略”</w:t>
      </w:r>
    </w:p>
    <w:p w14:paraId="436962BC"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推进绿色低碳转型发展</w:t>
      </w:r>
    </w:p>
    <w:p w14:paraId="3CFDA562"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华谊集团按照习近平总书记对能源产业走绿色低碳发展道路的指示要求，落实上海十二届市委二次全会关于持续用力推进绿色低碳转型的要求，贯彻新发展理念，加快布局绿色发展之棋，抢抓双碳业务发展先机。</w:t>
      </w:r>
    </w:p>
    <w:p w14:paraId="69BE6755"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华谊集团结合实际研究制定了</w:t>
      </w:r>
      <w:r>
        <w:rPr>
          <w:rFonts w:ascii="Times New Roman" w:eastAsia="仿宋_GB2312" w:hAnsi="Times New Roman" w:hint="eastAsia"/>
          <w:b/>
          <w:bCs/>
          <w:sz w:val="32"/>
          <w:szCs w:val="32"/>
          <w:lang w:bidi="ar"/>
        </w:rPr>
        <w:t>“</w:t>
      </w:r>
      <w:r>
        <w:rPr>
          <w:rFonts w:ascii="Times New Roman" w:eastAsia="仿宋_GB2312" w:hAnsi="Times New Roman" w:hint="eastAsia"/>
          <w:b/>
          <w:bCs/>
          <w:sz w:val="32"/>
          <w:szCs w:val="32"/>
          <w:lang w:bidi="ar"/>
        </w:rPr>
        <w:t>12345</w:t>
      </w:r>
      <w:r>
        <w:rPr>
          <w:rFonts w:ascii="Times New Roman" w:eastAsia="仿宋_GB2312" w:hAnsi="Times New Roman" w:hint="eastAsia"/>
          <w:b/>
          <w:bCs/>
          <w:sz w:val="32"/>
          <w:szCs w:val="32"/>
          <w:lang w:bidi="ar"/>
        </w:rPr>
        <w:t>集团双碳战略”</w:t>
      </w:r>
      <w:r>
        <w:rPr>
          <w:rFonts w:ascii="Times New Roman" w:eastAsia="仿宋_GB2312" w:hAnsi="Times New Roman" w:hint="eastAsia"/>
          <w:sz w:val="32"/>
          <w:szCs w:val="32"/>
          <w:lang w:bidi="ar"/>
        </w:rPr>
        <w:t>，即</w:t>
      </w:r>
      <w:r>
        <w:rPr>
          <w:rFonts w:ascii="Times New Roman" w:eastAsia="仿宋_GB2312" w:hAnsi="Times New Roman" w:hint="eastAsia"/>
          <w:b/>
          <w:bCs/>
          <w:sz w:val="32"/>
          <w:szCs w:val="32"/>
          <w:lang w:bidi="ar"/>
        </w:rPr>
        <w:t>1</w:t>
      </w:r>
      <w:r>
        <w:rPr>
          <w:rFonts w:ascii="Times New Roman" w:eastAsia="仿宋_GB2312" w:hAnsi="Times New Roman" w:hint="eastAsia"/>
          <w:b/>
          <w:bCs/>
          <w:sz w:val="32"/>
          <w:szCs w:val="32"/>
          <w:lang w:bidi="ar"/>
        </w:rPr>
        <w:t>个愿景：</w:t>
      </w:r>
      <w:r>
        <w:rPr>
          <w:rFonts w:ascii="Times New Roman" w:eastAsia="仿宋_GB2312" w:hAnsi="Times New Roman" w:hint="eastAsia"/>
          <w:sz w:val="32"/>
          <w:szCs w:val="32"/>
          <w:lang w:bidi="ar"/>
        </w:rPr>
        <w:t>打造中国化工行业绿色低碳发展领先企业，</w:t>
      </w:r>
      <w:r>
        <w:rPr>
          <w:rFonts w:ascii="Times New Roman" w:eastAsia="仿宋_GB2312" w:hAnsi="Times New Roman" w:hint="eastAsia"/>
          <w:sz w:val="32"/>
          <w:szCs w:val="32"/>
          <w:lang w:bidi="ar"/>
        </w:rPr>
        <w:t>2030</w:t>
      </w:r>
      <w:r>
        <w:rPr>
          <w:rFonts w:ascii="Times New Roman" w:eastAsia="仿宋_GB2312" w:hAnsi="Times New Roman" w:hint="eastAsia"/>
          <w:sz w:val="32"/>
          <w:szCs w:val="32"/>
          <w:lang w:bidi="ar"/>
        </w:rPr>
        <w:t>年绿色低碳发展水平达到国内行业先进。</w:t>
      </w:r>
      <w:r>
        <w:rPr>
          <w:rFonts w:ascii="Times New Roman" w:eastAsia="仿宋_GB2312" w:hAnsi="Times New Roman" w:hint="eastAsia"/>
          <w:b/>
          <w:bCs/>
          <w:sz w:val="32"/>
          <w:szCs w:val="32"/>
          <w:lang w:bidi="ar"/>
        </w:rPr>
        <w:t>2</w:t>
      </w:r>
      <w:r>
        <w:rPr>
          <w:rFonts w:ascii="Times New Roman" w:eastAsia="仿宋_GB2312" w:hAnsi="Times New Roman" w:hint="eastAsia"/>
          <w:b/>
          <w:bCs/>
          <w:sz w:val="32"/>
          <w:szCs w:val="32"/>
          <w:lang w:bidi="ar"/>
        </w:rPr>
        <w:t>个控制目标：</w:t>
      </w:r>
      <w:r>
        <w:rPr>
          <w:rFonts w:ascii="Times New Roman" w:eastAsia="仿宋_GB2312" w:hAnsi="Times New Roman" w:hint="eastAsia"/>
          <w:sz w:val="32"/>
          <w:szCs w:val="32"/>
          <w:lang w:bidi="ar"/>
        </w:rPr>
        <w:t>确定集团碳排放总量目标、强度控制目标，</w:t>
      </w:r>
      <w:r>
        <w:rPr>
          <w:rFonts w:ascii="Times New Roman" w:eastAsia="仿宋_GB2312" w:hAnsi="Times New Roman" w:hint="eastAsia"/>
          <w:sz w:val="32"/>
          <w:szCs w:val="32"/>
          <w:lang w:bidi="ar"/>
        </w:rPr>
        <w:t>2030</w:t>
      </w:r>
      <w:r>
        <w:rPr>
          <w:rFonts w:ascii="Times New Roman" w:eastAsia="仿宋_GB2312" w:hAnsi="Times New Roman" w:hint="eastAsia"/>
          <w:sz w:val="32"/>
          <w:szCs w:val="32"/>
          <w:lang w:bidi="ar"/>
        </w:rPr>
        <w:t>年前碳达峰。</w:t>
      </w:r>
      <w:r>
        <w:rPr>
          <w:rFonts w:ascii="Times New Roman" w:eastAsia="仿宋_GB2312" w:hAnsi="Times New Roman" w:hint="eastAsia"/>
          <w:b/>
          <w:bCs/>
          <w:sz w:val="32"/>
          <w:szCs w:val="32"/>
          <w:lang w:bidi="ar"/>
        </w:rPr>
        <w:t>3</w:t>
      </w:r>
      <w:r>
        <w:rPr>
          <w:rFonts w:ascii="Times New Roman" w:eastAsia="仿宋_GB2312" w:hAnsi="Times New Roman" w:hint="eastAsia"/>
          <w:b/>
          <w:bCs/>
          <w:sz w:val="32"/>
          <w:szCs w:val="32"/>
          <w:lang w:bidi="ar"/>
        </w:rPr>
        <w:t>项举措：</w:t>
      </w:r>
      <w:r>
        <w:rPr>
          <w:rFonts w:ascii="Times New Roman" w:eastAsia="仿宋_GB2312" w:hAnsi="Times New Roman" w:hint="eastAsia"/>
          <w:sz w:val="32"/>
          <w:szCs w:val="32"/>
          <w:lang w:bidi="ar"/>
        </w:rPr>
        <w:t>能源清洁化，积极发展绿电，提升电气化水平，布局可再生能源，实现减碳</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万吨；运营高效化，节能减排、能效提升，实现减碳</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万吨，打造</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家零碳工厂、</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个低碳标杆产品；原料低碳化，加强副产氢、绿氢、生物质等低碳原料替代，实现减碳</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万吨。</w:t>
      </w:r>
      <w:r>
        <w:rPr>
          <w:rFonts w:ascii="Times New Roman" w:eastAsia="仿宋_GB2312" w:hAnsi="Times New Roman" w:hint="eastAsia"/>
          <w:b/>
          <w:bCs/>
          <w:sz w:val="32"/>
          <w:szCs w:val="32"/>
          <w:lang w:bidi="ar"/>
        </w:rPr>
        <w:t>4</w:t>
      </w:r>
      <w:r>
        <w:rPr>
          <w:rFonts w:ascii="Times New Roman" w:eastAsia="仿宋_GB2312" w:hAnsi="Times New Roman" w:hint="eastAsia"/>
          <w:b/>
          <w:bCs/>
          <w:sz w:val="32"/>
          <w:szCs w:val="32"/>
          <w:lang w:bidi="ar"/>
        </w:rPr>
        <w:t>个领域</w:t>
      </w:r>
      <w:r>
        <w:rPr>
          <w:rFonts w:ascii="Times New Roman" w:eastAsia="仿宋_GB2312" w:hAnsi="Times New Roman" w:hint="eastAsia"/>
          <w:sz w:val="32"/>
          <w:szCs w:val="32"/>
          <w:lang w:bidi="ar"/>
        </w:rPr>
        <w:t>布局绿色低碳产业和技术：分别是能源与原料、低碳产品与工艺、环保产品与服务、绿色新兴产业四个领域。</w:t>
      </w:r>
      <w:r>
        <w:rPr>
          <w:rFonts w:ascii="Times New Roman" w:eastAsia="仿宋_GB2312" w:hAnsi="Times New Roman" w:hint="eastAsia"/>
          <w:b/>
          <w:bCs/>
          <w:sz w:val="32"/>
          <w:szCs w:val="32"/>
          <w:lang w:bidi="ar"/>
        </w:rPr>
        <w:t>5</w:t>
      </w:r>
      <w:r>
        <w:rPr>
          <w:rFonts w:ascii="Times New Roman" w:eastAsia="仿宋_GB2312" w:hAnsi="Times New Roman" w:hint="eastAsia"/>
          <w:b/>
          <w:bCs/>
          <w:sz w:val="32"/>
          <w:szCs w:val="32"/>
          <w:lang w:bidi="ar"/>
        </w:rPr>
        <w:t>方面统一管理体系：</w:t>
      </w:r>
      <w:r>
        <w:rPr>
          <w:rFonts w:ascii="Times New Roman" w:eastAsia="仿宋_GB2312" w:hAnsi="Times New Roman" w:hint="eastAsia"/>
          <w:sz w:val="32"/>
          <w:szCs w:val="32"/>
          <w:lang w:bidi="ar"/>
        </w:rPr>
        <w:t>即统一规划、统一部署、统一监测、统一策略、统一考核。</w:t>
      </w:r>
    </w:p>
    <w:p w14:paraId="488F13B3"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今年，集团将重点推进“双碳”战略落地，开展双碳日</w:t>
      </w:r>
      <w:r>
        <w:rPr>
          <w:rFonts w:ascii="Times New Roman" w:eastAsia="仿宋_GB2312" w:hAnsi="Times New Roman" w:hint="eastAsia"/>
          <w:sz w:val="32"/>
          <w:szCs w:val="32"/>
          <w:lang w:bidi="ar"/>
        </w:rPr>
        <w:lastRenderedPageBreak/>
        <w:t>常管理工作，明确减排指标，推动各项措施落地，将双碳工作纳入企业考核指标，建立碳排放管理体系建设，组织开展碳排放监测和建设数字化碳管理系统，严控新建项目的碳排放强度，开展低碳技术研发和业务发展，组建集团专业的碳管理人才队伍。同时，继续加大环保投入，通过提升改造，解决短板问题，打好污染防治攻坚战，重点推进副产物合规化处置，开展常态化固废核查，持续推进绿色工厂创建。（华谊集团）</w:t>
      </w:r>
    </w:p>
    <w:p w14:paraId="33F3A27A" w14:textId="77777777" w:rsidR="00A404C1" w:rsidRDefault="00A404C1">
      <w:pPr>
        <w:pStyle w:val="2"/>
        <w:widowControl w:val="0"/>
      </w:pPr>
    </w:p>
    <w:p w14:paraId="24AD041B"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上汽集团率先成为中国首个新能源汽车</w:t>
      </w:r>
    </w:p>
    <w:p w14:paraId="1C8334DC" w14:textId="77777777" w:rsidR="00A404C1"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海外市场“双百万辆企业”</w:t>
      </w:r>
    </w:p>
    <w:p w14:paraId="708FA679"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年，上汽集团销售整车</w:t>
      </w:r>
      <w:r>
        <w:rPr>
          <w:rFonts w:ascii="Times New Roman" w:eastAsia="仿宋_GB2312" w:hAnsi="Times New Roman" w:hint="eastAsia"/>
          <w:sz w:val="32"/>
          <w:szCs w:val="32"/>
          <w:lang w:bidi="ar"/>
        </w:rPr>
        <w:t>530.3</w:t>
      </w:r>
      <w:r>
        <w:rPr>
          <w:rFonts w:ascii="Times New Roman" w:eastAsia="仿宋_GB2312" w:hAnsi="Times New Roman" w:hint="eastAsia"/>
          <w:sz w:val="32"/>
          <w:szCs w:val="32"/>
          <w:lang w:bidi="ar"/>
        </w:rPr>
        <w:t>万辆，连续</w:t>
      </w:r>
      <w:r>
        <w:rPr>
          <w:rFonts w:ascii="Times New Roman" w:eastAsia="仿宋_GB2312" w:hAnsi="Times New Roman" w:hint="eastAsia"/>
          <w:sz w:val="32"/>
          <w:szCs w:val="32"/>
          <w:lang w:bidi="ar"/>
        </w:rPr>
        <w:t>17</w:t>
      </w:r>
      <w:r>
        <w:rPr>
          <w:rFonts w:ascii="Times New Roman" w:eastAsia="仿宋_GB2312" w:hAnsi="Times New Roman" w:hint="eastAsia"/>
          <w:sz w:val="32"/>
          <w:szCs w:val="32"/>
          <w:lang w:bidi="ar"/>
        </w:rPr>
        <w:t>年保持国内第一，并率先成为中国首个新能源汽车、海外市场销售“双百万辆企业”。</w:t>
      </w:r>
    </w:p>
    <w:p w14:paraId="51F265E5"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全年，上汽新能源汽车热销</w:t>
      </w:r>
      <w:r>
        <w:rPr>
          <w:rFonts w:ascii="Times New Roman" w:eastAsia="仿宋_GB2312" w:hAnsi="Times New Roman" w:hint="eastAsia"/>
          <w:sz w:val="32"/>
          <w:szCs w:val="32"/>
          <w:lang w:bidi="ar"/>
        </w:rPr>
        <w:t>107.3</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46.5%</w:t>
      </w:r>
      <w:r>
        <w:rPr>
          <w:rFonts w:ascii="Times New Roman" w:eastAsia="仿宋_GB2312" w:hAnsi="Times New Roman" w:hint="eastAsia"/>
          <w:sz w:val="32"/>
          <w:szCs w:val="32"/>
          <w:lang w:bidi="ar"/>
        </w:rPr>
        <w:t>，稳居全球第一阵营；上汽海外市场销量达到</w:t>
      </w:r>
      <w:r>
        <w:rPr>
          <w:rFonts w:ascii="Times New Roman" w:eastAsia="仿宋_GB2312" w:hAnsi="Times New Roman" w:hint="eastAsia"/>
          <w:sz w:val="32"/>
          <w:szCs w:val="32"/>
          <w:lang w:bidi="ar"/>
        </w:rPr>
        <w:t>101.7</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45.9%</w:t>
      </w:r>
      <w:r>
        <w:rPr>
          <w:rFonts w:ascii="Times New Roman" w:eastAsia="仿宋_GB2312" w:hAnsi="Times New Roman" w:hint="eastAsia"/>
          <w:sz w:val="32"/>
          <w:szCs w:val="32"/>
          <w:lang w:bidi="ar"/>
        </w:rPr>
        <w:t>，连续</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年位居中国车企榜首；上汽自主品牌销售</w:t>
      </w:r>
      <w:r>
        <w:rPr>
          <w:rFonts w:ascii="Times New Roman" w:eastAsia="仿宋_GB2312" w:hAnsi="Times New Roman" w:hint="eastAsia"/>
          <w:sz w:val="32"/>
          <w:szCs w:val="32"/>
          <w:lang w:bidi="ar"/>
        </w:rPr>
        <w:t>278.5</w:t>
      </w:r>
      <w:r>
        <w:rPr>
          <w:rFonts w:ascii="Times New Roman" w:eastAsia="仿宋_GB2312" w:hAnsi="Times New Roman" w:hint="eastAsia"/>
          <w:sz w:val="32"/>
          <w:szCs w:val="32"/>
          <w:lang w:bidi="ar"/>
        </w:rPr>
        <w:t>万辆，在总销量中的占比达到</w:t>
      </w:r>
      <w:r>
        <w:rPr>
          <w:rFonts w:ascii="Times New Roman" w:eastAsia="仿宋_GB2312" w:hAnsi="Times New Roman" w:hint="eastAsia"/>
          <w:sz w:val="32"/>
          <w:szCs w:val="32"/>
          <w:lang w:bidi="ar"/>
        </w:rPr>
        <w:t>52.5%</w:t>
      </w:r>
      <w:r>
        <w:rPr>
          <w:rFonts w:ascii="Times New Roman" w:eastAsia="仿宋_GB2312" w:hAnsi="Times New Roman" w:hint="eastAsia"/>
          <w:sz w:val="32"/>
          <w:szCs w:val="32"/>
          <w:lang w:bidi="ar"/>
        </w:rPr>
        <w:t>，上汽自主品牌、新能源汽车、海外市场销量均实现高速增长。</w:t>
      </w:r>
    </w:p>
    <w:p w14:paraId="5B3BD86F"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尤其在海外市场，每卖出三辆“中国车”，就有一辆是“上汽造”。欧洲市场已经成为上汽首个“十万辆级”海外</w:t>
      </w:r>
      <w:r>
        <w:rPr>
          <w:rFonts w:ascii="Times New Roman" w:eastAsia="仿宋_GB2312" w:hAnsi="Times New Roman" w:hint="eastAsia"/>
          <w:sz w:val="32"/>
          <w:szCs w:val="32"/>
          <w:lang w:bidi="ar"/>
        </w:rPr>
        <w:lastRenderedPageBreak/>
        <w:t>区域市场，“中国单一品牌海外销量冠军”</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名爵品牌保持“四连冠”，在澳大利亚、新西兰、墨西哥、泰国、智利等近</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个国家跻身单一品牌前</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。上汽大通海外累计销量突破</w:t>
      </w:r>
      <w:r>
        <w:rPr>
          <w:rFonts w:ascii="Times New Roman" w:eastAsia="仿宋_GB2312" w:hAnsi="Times New Roman" w:hint="eastAsia"/>
          <w:sz w:val="32"/>
          <w:szCs w:val="32"/>
          <w:lang w:bidi="ar"/>
        </w:rPr>
        <w:t>22</w:t>
      </w:r>
      <w:r>
        <w:rPr>
          <w:rFonts w:ascii="Times New Roman" w:eastAsia="仿宋_GB2312" w:hAnsi="Times New Roman" w:hint="eastAsia"/>
          <w:sz w:val="32"/>
          <w:szCs w:val="32"/>
          <w:lang w:bidi="ar"/>
        </w:rPr>
        <w:t>万辆，在澳大利亚、新西兰、英国等发达国家市场销量占比超过</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。上汽海外市场的优异表现为中国汽车出口突破</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万辆，跃居全球第二贡献了自己的力量。</w:t>
      </w:r>
    </w:p>
    <w:p w14:paraId="21EAF6CA" w14:textId="77777777" w:rsidR="00A404C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未来，上汽将继续向高端化、绿色化、智能化转型升级，推动创新技术在整车产品上加快落地，向用户型高科技企业全面转型，努力打造具有全球竞争力和影响力的汽车品牌。（上汽集团）</w:t>
      </w:r>
    </w:p>
    <w:p w14:paraId="4E0A5C67" w14:textId="77777777" w:rsidR="00A404C1" w:rsidRDefault="00A404C1">
      <w:pPr>
        <w:widowControl w:val="0"/>
      </w:pPr>
    </w:p>
    <w:p w14:paraId="7E87BE05"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上海地产集团下属中华企业积极推进沪鲁联动</w:t>
      </w:r>
    </w:p>
    <w:p w14:paraId="3891C785" w14:textId="77777777" w:rsidR="00A404C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打造产融结合新范式</w:t>
      </w:r>
    </w:p>
    <w:p w14:paraId="4B9FFCFA" w14:textId="77777777" w:rsidR="00A404C1"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近日，上海地产集团下属中华企业与上海齐鲁实业（集团）有限公司签署战略合作协议。</w:t>
      </w:r>
    </w:p>
    <w:p w14:paraId="53B8DD7C" w14:textId="77777777" w:rsidR="00A404C1"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中华企业与上海齐鲁作为分属沪、鲁的国有企业，为贯彻落实《上海市人民政府</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山东省人民政府深化大合作</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构筑“两个循环”行动方案（</w:t>
      </w:r>
      <w:r>
        <w:rPr>
          <w:rFonts w:ascii="Times New Roman" w:eastAsia="仿宋_GB2312" w:hAnsi="Times New Roman" w:hint="eastAsia"/>
          <w:sz w:val="32"/>
          <w:szCs w:val="32"/>
          <w:lang w:bidi="ar"/>
        </w:rPr>
        <w:t>2021-2022</w:t>
      </w:r>
      <w:r>
        <w:rPr>
          <w:rFonts w:ascii="Times New Roman" w:eastAsia="仿宋_GB2312" w:hAnsi="Times New Roman" w:hint="eastAsia"/>
          <w:sz w:val="32"/>
          <w:szCs w:val="32"/>
          <w:lang w:bidi="ar"/>
        </w:rPr>
        <w:t>）》，实现两地优质资源互补、共同发挥投资和产业的联动效应，共同打造相互赋能、相互融合的产融结合新范式，双方决定建立长效协同机制，成为深层次的战略合作联盟。</w:t>
      </w:r>
    </w:p>
    <w:p w14:paraId="7615AFA4" w14:textId="77777777" w:rsidR="00A404C1"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作为双方合作的第一个项目，上海齐鲁将整体租赁中华</w:t>
      </w:r>
      <w:r>
        <w:rPr>
          <w:rFonts w:ascii="Times New Roman" w:eastAsia="仿宋_GB2312" w:hAnsi="Times New Roman" w:hint="eastAsia"/>
          <w:sz w:val="32"/>
          <w:szCs w:val="32"/>
          <w:lang w:bidi="ar"/>
        </w:rPr>
        <w:lastRenderedPageBreak/>
        <w:t>企业在黄浦江沿岸开发和运营的高品质项目——中企未来世纪大厦，并以此为契机导入其上下游企业及关联、合作企业进驻项目形成产业集群。后续也将吸引上海齐鲁旗下企业租赁中华企业位于上海核心区域的其他写字楼，推动中华企业商办租赁市场需求的增加，为中华企业商办运营带来新一轮的发展机遇，实现五大赛道中资产运营板块的长期良性循环发展。</w:t>
      </w:r>
    </w:p>
    <w:p w14:paraId="39001F5D" w14:textId="77777777" w:rsidR="00A404C1"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未来，中华企业与上海齐鲁将贯彻互惠互补的目标，充分发挥各自优势和特点，以重点项目及优势项目为契机，推进沪鲁联动，在资产运营、产融结合、产业投资等方面进一步深化合作，推动区域协同发展，实现双方互利共赢。（上海地产集团）</w:t>
      </w:r>
    </w:p>
    <w:sectPr w:rsidR="00A404C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1DBB" w14:textId="77777777" w:rsidR="00F1721F" w:rsidRDefault="00F1721F">
      <w:r>
        <w:separator/>
      </w:r>
    </w:p>
  </w:endnote>
  <w:endnote w:type="continuationSeparator" w:id="0">
    <w:p w14:paraId="44A9BEE0" w14:textId="77777777" w:rsidR="00F1721F" w:rsidRDefault="00F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38679F43" w14:textId="77777777" w:rsidR="00A404C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A5593D8" w14:textId="77777777" w:rsidR="00A404C1" w:rsidRDefault="00A404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1DDD0E34" w14:textId="77777777" w:rsidR="00A404C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44769B2F" w14:textId="77777777" w:rsidR="00A404C1" w:rsidRDefault="00A404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319C" w14:textId="77777777" w:rsidR="00F1721F" w:rsidRDefault="00F1721F">
      <w:r>
        <w:separator/>
      </w:r>
    </w:p>
  </w:footnote>
  <w:footnote w:type="continuationSeparator" w:id="0">
    <w:p w14:paraId="32A5BE1E" w14:textId="77777777" w:rsidR="00F1721F" w:rsidRDefault="00F1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39374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BD0204"/>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A564A"/>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6667D"/>
    <w:rsid w:val="00771016"/>
    <w:rsid w:val="00783B8B"/>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404C1"/>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1721F"/>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0C3D1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85DD7"/>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9D7DE5"/>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C76F7B"/>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3009C"/>
    <w:rsid w:val="75DFD2B6"/>
    <w:rsid w:val="75E914E0"/>
    <w:rsid w:val="75F91781"/>
    <w:rsid w:val="75F9F003"/>
    <w:rsid w:val="75FD1071"/>
    <w:rsid w:val="75FD2CE7"/>
    <w:rsid w:val="75FD8C3E"/>
    <w:rsid w:val="75FECA87"/>
    <w:rsid w:val="75FF1DDF"/>
    <w:rsid w:val="75FF4D97"/>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C1D005"/>
  <w15:docId w15:val="{D2C846FB-3107-7648-9310-4C0F6539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 w:type="paragraph" w:styleId="af1">
    <w:name w:val="Revision"/>
    <w:hidden/>
    <w:uiPriority w:val="99"/>
    <w:semiHidden/>
    <w:rsid w:val="00783B8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14</cp:revision>
  <cp:lastPrinted>2023-02-04T09:11:00Z</cp:lastPrinted>
  <dcterms:created xsi:type="dcterms:W3CDTF">2022-12-28T17:47:00Z</dcterms:created>
  <dcterms:modified xsi:type="dcterms:W3CDTF">2023-02-13T02:34:00Z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37E31D6684D5A4740879E363BFD901D6</vt:lpwstr>
  </property>
</Properties>
</file>