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EF72">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6FC98437">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w:t>
      </w:r>
      <w:r>
        <w:rPr>
          <w:rFonts w:hint="eastAsia"/>
          <w:b/>
          <w:sz w:val="32"/>
        </w:rPr>
        <w:t>期</w:t>
      </w:r>
    </w:p>
    <w:p w14:paraId="153F404C">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220DDA2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2</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705B292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6"/>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重要动态</w:t>
      </w:r>
    </w:p>
    <w:p w14:paraId="1AB0F9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上海市国资委举办“沪联跨境荟，护航企业走出去”</w:t>
      </w:r>
    </w:p>
    <w:p w14:paraId="54093E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金融服务实体经济沙龙</w:t>
      </w:r>
    </w:p>
    <w:p w14:paraId="2AF0D2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近日，为深入贯彻上海“五个中心”建设要求，助力本市企业提升跨境投融资能力，近日，上海市国资委组织召开“沪联跨境荟，护航企业走出去”金融服务实体经济沙龙。市国资委副主任孙瑜出席活动并讲话。</w:t>
      </w:r>
    </w:p>
    <w:p w14:paraId="585D08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会上，人行上海总部、市委金融办介绍上海自贸区离岸债相关情况。部分监管企业相关负责同志围绕企业融资需求、跨境金融综合服务方案等展开积极交流和讨论。</w:t>
      </w:r>
    </w:p>
    <w:p w14:paraId="537C8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孙瑜指出，市国资委正深入贯彻落实国家对外开放战略部署和本市关于推动国有企业高质量</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走出去</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的工作要求，持续推动跨境金融赋能，各市属金融企业要强化统筹协同保障，健全跨境产融联动体系；聚焦主责主业，筑牢防控金融风险底线，护航国有企业高质量</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走出去</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。各监管企业要积极贯彻落实市委、市政府工作部署，扎实推进稳增长工作，确保实现良好开局，为全市经济发展贡献更大力量。</w:t>
      </w:r>
    </w:p>
    <w:p w14:paraId="2E1F9E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下一步，市国资委将进一步推动市属金融企业深化</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沪联跨境荟</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跨境金融协同服务体系，着力破解实体企业在跨境发展中遇到的金融服务难题，引导金融资源更精准地流向实体经济，推动国有企业提升全球竞争力，实现高质量发展。</w:t>
      </w:r>
      <w:r>
        <w:rPr>
          <w:rFonts w:hint="eastAsia" w:ascii="Times New Roman" w:hAnsi="Times New Roman" w:eastAsia="仿宋_GB2312" w:cs="仿宋_GB2312"/>
          <w:b w:val="0"/>
          <w:bCs w:val="0"/>
          <w:sz w:val="32"/>
          <w:szCs w:val="32"/>
          <w:lang w:val="en-US" w:eastAsia="zh-CN"/>
        </w:rPr>
        <w:t>（上海市国资委）</w:t>
      </w:r>
    </w:p>
    <w:p w14:paraId="3DF20D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仿宋_GB2312" w:cs="仿宋_GB2312"/>
          <w:b w:val="0"/>
          <w:bCs w:val="0"/>
          <w:sz w:val="32"/>
          <w:szCs w:val="32"/>
          <w:lang w:val="en-US" w:eastAsia="zh-CN"/>
        </w:rPr>
      </w:pPr>
    </w:p>
    <w:p w14:paraId="2A2D521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6"/>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323324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上海银行发布人才发展计划</w:t>
      </w:r>
    </w:p>
    <w:p w14:paraId="27FD4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护航“十五五”规划落实落地</w:t>
      </w:r>
    </w:p>
    <w:p w14:paraId="520B77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银行立足人才成长的全生命周期，正式发布“上海银行人才发展计划”，全面深化“一体两翼三化四位协同”的战略性人力资源管理体系，以强有力的人才引领、支持、保障“十五五”规划的落实落地。</w:t>
      </w:r>
    </w:p>
    <w:p w14:paraId="48F04B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银行“一体两翼三化四位协同”的战略性人力资源管理体系，以人才发展为主体，以绩效管理、资源配置为“两翼”，提升人力资源管理工作市场化、专业化、数智化水平，推动形成各级领导、人力资源条线、业务条线和员工自己齐抓共管的责任体系。</w:t>
      </w:r>
    </w:p>
    <w:p w14:paraId="2CDAB4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围绕战略性人力资源管理体系，上海银行提出六方面工作举措：</w:t>
      </w:r>
      <w:r>
        <w:rPr>
          <w:rFonts w:hint="eastAsia" w:ascii="Times New Roman" w:hAnsi="Times New Roman" w:eastAsia="仿宋_GB2312" w:cs="仿宋_GB2312"/>
          <w:b/>
          <w:bCs/>
          <w:sz w:val="32"/>
          <w:szCs w:val="32"/>
          <w:lang w:val="en-US" w:eastAsia="zh-CN"/>
        </w:rPr>
        <w:t>树立重视人才管理的氛围，</w:t>
      </w:r>
      <w:r>
        <w:rPr>
          <w:rFonts w:hint="eastAsia" w:ascii="Times New Roman" w:hAnsi="Times New Roman" w:eastAsia="仿宋_GB2312" w:cs="仿宋_GB2312"/>
          <w:sz w:val="32"/>
          <w:szCs w:val="32"/>
          <w:lang w:val="en-US" w:eastAsia="zh-CN"/>
        </w:rPr>
        <w:t>通过完善科学决策机制、分工协作机制、督促落实机制，确保人才工作责任清晰、机制明确，形成“人人皆可成才、人人尽展其才”的鲜明导向和浓厚氛围。</w:t>
      </w:r>
      <w:r>
        <w:rPr>
          <w:rFonts w:hint="eastAsia" w:ascii="Times New Roman" w:hAnsi="Times New Roman" w:eastAsia="仿宋_GB2312" w:cs="仿宋_GB2312"/>
          <w:b/>
          <w:bCs/>
          <w:sz w:val="32"/>
          <w:szCs w:val="32"/>
          <w:lang w:val="en-US" w:eastAsia="zh-CN"/>
        </w:rPr>
        <w:t>优化人才招聘配置体系，</w:t>
      </w:r>
      <w:r>
        <w:rPr>
          <w:rFonts w:hint="eastAsia" w:ascii="Times New Roman" w:hAnsi="Times New Roman" w:eastAsia="仿宋_GB2312" w:cs="仿宋_GB2312"/>
          <w:sz w:val="32"/>
          <w:szCs w:val="32"/>
          <w:lang w:val="en-US" w:eastAsia="zh-CN"/>
        </w:rPr>
        <w:t>推动人员配置从“总量控制”向“价值判断”转变。</w:t>
      </w:r>
      <w:r>
        <w:rPr>
          <w:rFonts w:hint="eastAsia" w:ascii="Times New Roman" w:hAnsi="Times New Roman" w:eastAsia="仿宋_GB2312" w:cs="仿宋_GB2312"/>
          <w:b/>
          <w:bCs/>
          <w:sz w:val="32"/>
          <w:szCs w:val="32"/>
          <w:lang w:val="en-US" w:eastAsia="zh-CN"/>
        </w:rPr>
        <w:t>畅通人才成长发展通道，</w:t>
      </w:r>
      <w:r>
        <w:rPr>
          <w:rFonts w:hint="eastAsia" w:ascii="Times New Roman" w:hAnsi="Times New Roman" w:eastAsia="仿宋_GB2312" w:cs="仿宋_GB2312"/>
          <w:sz w:val="32"/>
          <w:szCs w:val="32"/>
          <w:lang w:val="en-US" w:eastAsia="zh-CN"/>
        </w:rPr>
        <w:t>以人才盘点“摸准底”、以人才交流“拓宽路”、以培训培养“赋好能”，构建“分层分类、错落有致、张弛有度、针对有效”的干部人才培训体系。</w:t>
      </w:r>
      <w:r>
        <w:rPr>
          <w:rFonts w:hint="eastAsia" w:ascii="Times New Roman" w:hAnsi="Times New Roman" w:eastAsia="仿宋_GB2312" w:cs="仿宋_GB2312"/>
          <w:b/>
          <w:bCs/>
          <w:sz w:val="32"/>
          <w:szCs w:val="32"/>
          <w:lang w:val="en-US" w:eastAsia="zh-CN"/>
        </w:rPr>
        <w:t>优化人才考核评价体系，</w:t>
      </w:r>
      <w:r>
        <w:rPr>
          <w:rFonts w:hint="eastAsia" w:ascii="Times New Roman" w:hAnsi="Times New Roman" w:eastAsia="仿宋_GB2312" w:cs="仿宋_GB2312"/>
          <w:sz w:val="32"/>
          <w:szCs w:val="32"/>
          <w:lang w:val="en-US" w:eastAsia="zh-CN"/>
        </w:rPr>
        <w:t>构建“目标设定—过程沟通—考核评价—结果运用”的全周期、闭环式管理体系，筑牢“能干、想干”的基础，持续强化“三能机制”，充分激发队伍活力。</w:t>
      </w:r>
      <w:r>
        <w:rPr>
          <w:rFonts w:hint="eastAsia" w:ascii="Times New Roman" w:hAnsi="Times New Roman" w:eastAsia="仿宋_GB2312" w:cs="仿宋_GB2312"/>
          <w:b/>
          <w:bCs/>
          <w:sz w:val="32"/>
          <w:szCs w:val="32"/>
          <w:lang w:val="en-US" w:eastAsia="zh-CN"/>
        </w:rPr>
        <w:t>搭建系统化、实战化的人才培养历练体系，</w:t>
      </w:r>
      <w:r>
        <w:rPr>
          <w:rFonts w:hint="eastAsia" w:ascii="Times New Roman" w:hAnsi="Times New Roman" w:eastAsia="仿宋_GB2312" w:cs="仿宋_GB2312"/>
          <w:sz w:val="32"/>
          <w:szCs w:val="32"/>
          <w:lang w:val="en-US" w:eastAsia="zh-CN"/>
        </w:rPr>
        <w:t>构建集岗位交流、见习培养与专业赋能于一体的立体化培养历练体系，让更多人才在多岗位、多场景的淬炼中加速成长成才。</w:t>
      </w:r>
      <w:r>
        <w:rPr>
          <w:rFonts w:hint="eastAsia" w:ascii="Times New Roman" w:hAnsi="Times New Roman" w:eastAsia="仿宋_GB2312" w:cs="仿宋_GB2312"/>
          <w:b/>
          <w:bCs/>
          <w:sz w:val="32"/>
          <w:szCs w:val="32"/>
          <w:lang w:val="en-US" w:eastAsia="zh-CN"/>
        </w:rPr>
        <w:t>加强青年人才培训培养，</w:t>
      </w:r>
      <w:r>
        <w:rPr>
          <w:rFonts w:hint="eastAsia" w:ascii="Times New Roman" w:hAnsi="Times New Roman" w:eastAsia="仿宋_GB2312" w:cs="仿宋_GB2312"/>
          <w:sz w:val="32"/>
          <w:szCs w:val="32"/>
          <w:lang w:val="en-US" w:eastAsia="zh-CN"/>
        </w:rPr>
        <w:t>以“一年会、二年熟、三年专”为目标，全面推行校招新行员标准化培养培训体系，并恢复实施“管培生”培养计划，为高质量发展储备后备力量。（上海银行）</w:t>
      </w:r>
    </w:p>
    <w:p w14:paraId="1F8312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default" w:ascii="Times New Roman" w:hAnsi="Times New Roman" w:eastAsia="仿宋_GB2312" w:cs="仿宋_GB2312"/>
          <w:sz w:val="32"/>
          <w:szCs w:val="32"/>
          <w:lang w:val="en-US" w:eastAsia="zh-CN"/>
        </w:rPr>
      </w:pPr>
    </w:p>
    <w:p w14:paraId="7EE73CE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79D441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隧道股份“瑞元里”打造存量资产盘活新标杆</w:t>
      </w:r>
    </w:p>
    <w:p w14:paraId="7E1628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隧道股份旗下“瑞元里·中山西路店”开业满3个月，出租率突破90%，成为上海存量商务楼“商改住”的更新典范。</w:t>
      </w:r>
    </w:p>
    <w:p w14:paraId="0B4AF6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z w:val="32"/>
          <w:szCs w:val="32"/>
          <w:lang w:val="en-US" w:eastAsia="zh-CN"/>
        </w:rPr>
        <w:t>老旧写字楼“变身”为青年安居港湾，</w:t>
      </w:r>
      <w:r>
        <w:rPr>
          <w:rFonts w:hint="eastAsia" w:ascii="Times New Roman" w:hAnsi="Times New Roman" w:eastAsia="仿宋_GB2312" w:cs="仿宋_GB2312"/>
          <w:sz w:val="32"/>
          <w:szCs w:val="32"/>
          <w:lang w:val="en-US" w:eastAsia="zh-CN"/>
        </w:rPr>
        <w:t>1楼大堂是公共活动空间和健身房，2楼到7楼是20-52平米不等的崭新住房。楼宇地处中山西路优质地段，步行5分钟内可达轨交3、4、9号线，一站即达徐家汇核心商圈。这处青年居住社区，前身是隧道股份建于1994年、出租率一度跌破50%的沪水商务楼。2025年，隧道股份建元资管正式启动更新改造，将原有写字楼重新塑造为89间精致公寓，在中心城区青年提供舒适便捷居住选择的同时，也成功盘活了城市存量资产，让老旧楼宇焕发全新的价值与活力。</w:t>
      </w:r>
    </w:p>
    <w:p w14:paraId="54B2A3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更新改造过程中，隧道股份建元资管依托市非改居保障性租赁住房政策，对沪水商务楼完成了一整套“年轻化方案”，将其更新成为面向青年的年轻化居住空间。大开间办公区科学改造为多元户型，配套完善水电、卫生间等居住设施；采用化学植筋技术加固建筑基础，全方位增强居住安全性与稳定性；协同政府管理部门，做好水电民用标准认定等入住关键事项。</w:t>
      </w:r>
    </w:p>
    <w:p w14:paraId="21F9F9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未来，隧道股份将以“瑞元里·中山西路店”为样板，依托“投资-改造-运营”一体化模式，打造更多“商改住”项目典范，为城市存量资产盘活探索新路径、寻找新机遇。（隧道股份）</w:t>
      </w:r>
    </w:p>
    <w:p w14:paraId="0E59D2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7CAA75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华文中宋"/>
          <w:b w:val="0"/>
          <w:bCs/>
          <w:i w:val="0"/>
          <w:caps w:val="0"/>
          <w:spacing w:val="-11"/>
          <w:kern w:val="44"/>
          <w:sz w:val="36"/>
          <w:szCs w:val="36"/>
          <w:shd w:val="clear" w:fill="FFFFFF"/>
          <w:lang w:val="en-US" w:eastAsia="zh-CN" w:bidi="ar"/>
        </w:rPr>
      </w:pPr>
      <w:r>
        <w:rPr>
          <w:rFonts w:hint="default" w:ascii="Times New Roman" w:hAnsi="Times New Roman" w:eastAsia="华文中宋" w:cs="华文中宋"/>
          <w:b w:val="0"/>
          <w:bCs/>
          <w:i w:val="0"/>
          <w:caps w:val="0"/>
          <w:spacing w:val="-11"/>
          <w:kern w:val="44"/>
          <w:sz w:val="36"/>
          <w:szCs w:val="36"/>
          <w:shd w:val="clear" w:fill="FFFFFF"/>
          <w:lang w:val="en-US" w:eastAsia="zh-CN" w:bidi="ar"/>
        </w:rPr>
        <w:t>上港</w:t>
      </w:r>
      <w:r>
        <w:rPr>
          <w:rFonts w:hint="eastAsia" w:ascii="Times New Roman" w:hAnsi="Times New Roman" w:eastAsia="华文中宋" w:cs="华文中宋"/>
          <w:b w:val="0"/>
          <w:bCs/>
          <w:i w:val="0"/>
          <w:caps w:val="0"/>
          <w:spacing w:val="-11"/>
          <w:kern w:val="44"/>
          <w:sz w:val="36"/>
          <w:szCs w:val="36"/>
          <w:shd w:val="clear" w:fill="FFFFFF"/>
          <w:lang w:val="en-US" w:eastAsia="zh-CN" w:bidi="ar"/>
        </w:rPr>
        <w:t>集团上海港</w:t>
      </w:r>
      <w:r>
        <w:rPr>
          <w:rFonts w:hint="default" w:ascii="Times New Roman" w:hAnsi="Times New Roman" w:eastAsia="华文中宋" w:cs="华文中宋"/>
          <w:b w:val="0"/>
          <w:bCs/>
          <w:i w:val="0"/>
          <w:caps w:val="0"/>
          <w:spacing w:val="-11"/>
          <w:kern w:val="44"/>
          <w:sz w:val="36"/>
          <w:szCs w:val="36"/>
          <w:shd w:val="clear" w:fill="FFFFFF"/>
          <w:lang w:val="en-US" w:eastAsia="zh-CN" w:bidi="ar"/>
        </w:rPr>
        <w:t>首月集装箱吞吐量突破506万标箱</w:t>
      </w:r>
    </w:p>
    <w:p w14:paraId="48651C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2026年1月，上港集团上海港月度集装箱吞吐量强势实现506.3万标准箱（TEU），刷新月度历史最高纪录。</w:t>
      </w:r>
    </w:p>
    <w:p w14:paraId="40ADB4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面对新年首月全球航运市场的复杂变化与货物集中到港的双重考验，上港集团锚定</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核心业务高质量发展</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目标，充分发挥港口主业</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压舱石</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作用</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牵头统筹全局，深度研判全球贸易流向与市场需求趋势，将</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深化枢纽港功能、构建高效集疏运体系</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战略部署层层分解、精准落地。在资源调配方面，统筹协调核心港区的泊位、岸线与设备资源，优化重点航线布局与班期安排，深化与全球主流船公司的战略合作，推出全流程一体化服务方案，打通生产运营各环节。深耕腹地、深化区域协同，大力推进长江经济带与长三角区域合作，通过扩容海铁联运业务范围、升级多式联运模式、优化大客户全程物流服务能力，为集装箱吞吐量再创新高筑牢坚实根基。</w:t>
      </w:r>
      <w:r>
        <w:rPr>
          <w:rFonts w:hint="eastAsia" w:ascii="Times New Roman" w:hAnsi="Times New Roman" w:eastAsia="仿宋_GB2312" w:cs="仿宋_GB2312"/>
          <w:sz w:val="32"/>
          <w:szCs w:val="32"/>
          <w:lang w:val="en-US" w:eastAsia="zh-CN"/>
        </w:rPr>
        <w:t>同时，</w:t>
      </w:r>
      <w:r>
        <w:rPr>
          <w:rFonts w:hint="default" w:ascii="Times New Roman" w:hAnsi="Times New Roman" w:eastAsia="仿宋_GB2312" w:cs="仿宋_GB2312"/>
          <w:sz w:val="32"/>
          <w:szCs w:val="32"/>
          <w:lang w:val="en-US" w:eastAsia="zh-CN"/>
        </w:rPr>
        <w:t>以标准化作业为抓手，充分激活智慧港口建设成果，推动自动化设备与传统作业模式深度融合，实现船舶靠离泊、集装箱装卸、堆场周转全链条高效协同。</w:t>
      </w:r>
    </w:p>
    <w:p w14:paraId="4B5676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上港集团将以此为新起点，进一步拓展国际中转业务，布局跨境电商、绿色能源加注等新业态，全力打造</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联通内外、对接全国、辐射全球</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的数智化港口枢纽网络，在</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十五五</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新征程上续写更加辉煌的发展篇章。</w:t>
      </w:r>
      <w:r>
        <w:rPr>
          <w:rFonts w:hint="eastAsia" w:ascii="Times New Roman" w:hAnsi="Times New Roman" w:eastAsia="仿宋_GB2312" w:cs="仿宋_GB2312"/>
          <w:sz w:val="32"/>
          <w:szCs w:val="32"/>
          <w:lang w:val="en-US" w:eastAsia="zh-CN"/>
        </w:rPr>
        <w:t>（上港集团）</w:t>
      </w:r>
    </w:p>
    <w:p w14:paraId="0A694A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0187A2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机场集团浦东机场四期工程迎来重要节点</w:t>
      </w:r>
    </w:p>
    <w:p w14:paraId="5EE0F9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近日，浦东机场四期扩建工程航站区工程国际主楼钢屋盖全面开吊仪式举行。仪式上宣布国际主楼钢屋盖全面开吊，T3航站区工程正式转入钢结构安装的核心攻坚阶段。</w:t>
      </w:r>
    </w:p>
    <w:p w14:paraId="0CF558B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浦东机场T3航站楼是四期扩建核心工程，位于浦东机场T1、T2航站楼及卫星厅的南侧，设计容量5000万人次，建成后可以满足浦东机场年旅客吞吐量1.3亿人次的保障需求。T3航站楼建筑外形呈现“翱翔”姿态，与浦东机场T1、T2航站楼“展翅”“腾飞”的建筑外形相呼应。T3航站楼国际主楼钢屋盖是“翱翔”外观的核心载体，建成后外观如飞鸟翱翔之姿。钢屋盖施工是四期工程重要节点之一，其顺利推进将为后续施工打下坚实基础，助力四期工程建设提质提速、按期建成。</w:t>
      </w:r>
    </w:p>
    <w:p w14:paraId="4E711D71">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T3航站楼钢结构用钢总量高达20.2万吨，由双曲主桁架、异型“飞鸟柱”、边柱等结构组成。其中，主要用来承重的“飞鸟柱”采用了自下而上的四分叉空间弯扭结构设计，分叉节点由特种高强钢铸造而成，单个铸钢件的重量就高达55吨，对制作精度、安装水准、结构涂装都有极高要求，在国内属于首次应用。</w:t>
      </w:r>
    </w:p>
    <w:p w14:paraId="20FD9D32">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施工阶段，机场集团会同上海建工、华建集团创新采用“深化设计、工厂制作、现场施工”一体化管理模式，大幅提升了施工效率与质量。如使用多台同步液压提升器平稳提升超6000吨的屋盖，误差控制精度达到毫米级，节省高空焊接近40%的工作量。应用BIM数字孪生与模拟仿真技术，优化设计方案与施工安排，实现关键工艺参数数字化存档，为打造品质工程提供有力支撑。（机场集团）</w:t>
      </w:r>
    </w:p>
    <w:p w14:paraId="02B26705">
      <w:pPr>
        <w:keepNext w:val="0"/>
        <w:keepLines w:val="0"/>
        <w:pageBreakBefore w:val="0"/>
        <w:kinsoku/>
        <w:wordWrap/>
        <w:overflowPunct/>
        <w:topLinePunct w:val="0"/>
        <w:autoSpaceDE/>
        <w:autoSpaceDN/>
        <w:bidi w:val="0"/>
        <w:adjustRightInd/>
        <w:snapToGrid/>
        <w:spacing w:line="600" w:lineRule="exact"/>
        <w:textAlignment w:val="auto"/>
        <w:rPr>
          <w:rFonts w:hint="eastAsia"/>
          <w:lang w:val="en-US" w:eastAsia="zh-CN"/>
        </w:rPr>
      </w:pPr>
      <w:bookmarkStart w:id="0" w:name="_GoBack"/>
      <w:bookmarkEnd w:id="0"/>
    </w:p>
    <w:p w14:paraId="67624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上海地产集团技术赋能</w:t>
      </w:r>
    </w:p>
    <w:p w14:paraId="1D7E4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助力新顾城河道完成生态蝶变</w:t>
      </w:r>
    </w:p>
    <w:p w14:paraId="3423C7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上海地产集团对</w:t>
      </w:r>
      <w:r>
        <w:rPr>
          <w:rFonts w:hint="eastAsia" w:ascii="Times New Roman" w:hAnsi="Times New Roman" w:eastAsia="仿宋_GB2312" w:cs="仿宋_GB2312"/>
          <w:sz w:val="32"/>
          <w:szCs w:val="32"/>
          <w:lang w:val="en-US" w:eastAsia="zh-CN"/>
        </w:rPr>
        <w:t>宝山区</w:t>
      </w:r>
      <w:r>
        <w:rPr>
          <w:rFonts w:hint="default" w:ascii="Times New Roman" w:hAnsi="Times New Roman" w:eastAsia="仿宋_GB2312" w:cs="仿宋_GB2312"/>
          <w:sz w:val="32"/>
          <w:szCs w:val="32"/>
          <w:lang w:val="en-US" w:eastAsia="zh-CN"/>
        </w:rPr>
        <w:t>新顾城河道项目坚持</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分类施策、技术赋能、分步实施</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原则，针对不同河道的现状与需求，制定差异化治理方案，实现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竣工一批、筹备一批、待启一批</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的良性推进节奏，逐步构建起</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河畅、水清、岸绿、景美</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的生态新格局。</w:t>
      </w:r>
    </w:p>
    <w:p w14:paraId="6C053B8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b/>
          <w:bCs/>
          <w:sz w:val="32"/>
          <w:szCs w:val="32"/>
          <w:lang w:val="en-US" w:eastAsia="zh-CN"/>
        </w:rPr>
        <w:t>技术赋能，描绘科学治水新蓝图</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sz w:val="32"/>
          <w:szCs w:val="32"/>
          <w:lang w:val="en-US" w:eastAsia="zh-CN"/>
        </w:rPr>
        <w:t>河道整治项目采用</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沉水植物群落+微孔曝气系统</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组合，构建起</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生态修复+技术强化</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治水新路径。其中，沉水植物群落可高效吸收水体中的氮、磷等营养物质，同时通过光合作用提升水体溶解氧含量，为水生生物营造适宜生存环境；微孔曝气系统则通过低压曝气推动水流循环，促进水体中有机物与微生物充分反应，高效去除BOD（生化需氧量）、COD（化学需氧量）及各类营养盐，两者协同作用，既避免传统化学治理的二次污染，又实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治污-修复-养护</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的全周期保障。</w:t>
      </w:r>
    </w:p>
    <w:p w14:paraId="4821FB7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b/>
          <w:bCs/>
          <w:sz w:val="32"/>
          <w:szCs w:val="32"/>
          <w:lang w:val="en-US" w:eastAsia="zh-CN"/>
        </w:rPr>
        <w:t>成效斐然，实现生态民生双丰收</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sz w:val="32"/>
          <w:szCs w:val="32"/>
          <w:lang w:val="en-US" w:eastAsia="zh-CN"/>
        </w:rPr>
        <w:t>新顾城已治理河道水质从劣V类升至IV类，呈现水清河畅、岸绿景美的风貌，生物多样性持续恢复；滨水空间成为居民休闲首选，完善区域宜居配套，为产业集聚提供生态支撑。经过系统性治理，已实现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生态效益</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与</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民生效益</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的双重丰收，真正完成从</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水患</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水韵</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的华丽蝶变。</w:t>
      </w:r>
      <w:r>
        <w:rPr>
          <w:rFonts w:hint="eastAsia" w:ascii="Times New Roman" w:hAnsi="Times New Roman" w:eastAsia="仿宋_GB2312" w:cs="仿宋_GB2312"/>
          <w:sz w:val="32"/>
          <w:szCs w:val="32"/>
          <w:lang w:val="en-US" w:eastAsia="zh-CN"/>
        </w:rPr>
        <w:t>（上海地产集团）</w:t>
      </w:r>
    </w:p>
    <w:p w14:paraId="4C001A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199CF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上海城投集团以高品质保租房助力人才安居宜居</w:t>
      </w:r>
    </w:p>
    <w:p w14:paraId="5AF19B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近日，全市最大体量的保租房小区城投宽庭张江社区全面建成，上海城投集团以高品质保租房助力人才安居宜居。</w:t>
      </w:r>
    </w:p>
    <w:p w14:paraId="651D9F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城投宽庭张江社区位于浦东新区箭桥路，总建筑面积超过33万平方米，地处张江科学城核心区域，毗邻地铁11号线康新公路站，周边集聚集成电路、生物医药、人工智能等重点产业。</w:t>
      </w:r>
    </w:p>
    <w:p w14:paraId="501911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前，项目一期的近4500套房源已于2023年入市，项目南侧的8栋住宅楼为近期建成的二期工程，共计3180套房源。二期主力户型为27平方米一室户，功能配置齐全。入户即为干湿分离的卫生间，洗衣机、冰箱等生活设施一应俱全，满足基本居住需求。</w:t>
      </w:r>
    </w:p>
    <w:p w14:paraId="239CE9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二期建设过程中，项目方结合一期住户的实际反馈，对户型细节进行了优化。例如，一期一室户床宽为1.2米，二期通过重新布局，将床宽提升至1.35米甚至1.5米，进一步提升居住舒适度。为满足不同租客的多样化需求，项目二期共设计了7种户型，面积从27平方米到115平方米不等，覆盖一居室至三居室。同时，社区还将新增约4500平方米公共配套空间，打造集居住、社交、休闲于一体的复合型社区。</w:t>
      </w:r>
    </w:p>
    <w:p w14:paraId="5A7FED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二期项目重点引入青年群体日常所需的配套设施，包括共享厨房、共享餐厅、青年小店、健身房，以及共享自习室和共享办公空间，整体计划在春节后投入运营。（上海城投集团）</w:t>
      </w:r>
    </w:p>
    <w:p w14:paraId="121765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16B3ED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77D2BC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C5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71D75">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B71D75">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3546191"/>
    <w:rsid w:val="04912ACD"/>
    <w:rsid w:val="04C9495C"/>
    <w:rsid w:val="04F922D8"/>
    <w:rsid w:val="055406CA"/>
    <w:rsid w:val="061A6B1D"/>
    <w:rsid w:val="06236B1C"/>
    <w:rsid w:val="06476169"/>
    <w:rsid w:val="06585F98"/>
    <w:rsid w:val="06C23411"/>
    <w:rsid w:val="06D27AF8"/>
    <w:rsid w:val="06EA7FED"/>
    <w:rsid w:val="078B6E70"/>
    <w:rsid w:val="07BB7C23"/>
    <w:rsid w:val="07EC127F"/>
    <w:rsid w:val="089F4B7E"/>
    <w:rsid w:val="08FE2188"/>
    <w:rsid w:val="0AEF0A53"/>
    <w:rsid w:val="0B73728A"/>
    <w:rsid w:val="0BC94856"/>
    <w:rsid w:val="0C4A717C"/>
    <w:rsid w:val="0C6C6465"/>
    <w:rsid w:val="0CA7474C"/>
    <w:rsid w:val="0CB206D4"/>
    <w:rsid w:val="0CDE6ACB"/>
    <w:rsid w:val="0D1A5D55"/>
    <w:rsid w:val="0D770F93"/>
    <w:rsid w:val="0DAB087B"/>
    <w:rsid w:val="0E197DBB"/>
    <w:rsid w:val="0E456E02"/>
    <w:rsid w:val="10B169D0"/>
    <w:rsid w:val="119333A6"/>
    <w:rsid w:val="11EE117E"/>
    <w:rsid w:val="126A3748"/>
    <w:rsid w:val="132B63AE"/>
    <w:rsid w:val="14CE54A9"/>
    <w:rsid w:val="14FC267E"/>
    <w:rsid w:val="151B6B0E"/>
    <w:rsid w:val="158D3702"/>
    <w:rsid w:val="16E72946"/>
    <w:rsid w:val="175F5A57"/>
    <w:rsid w:val="18FA6A3B"/>
    <w:rsid w:val="192763CA"/>
    <w:rsid w:val="199C0963"/>
    <w:rsid w:val="1AAE449B"/>
    <w:rsid w:val="1AB64BE3"/>
    <w:rsid w:val="1B1FCF3A"/>
    <w:rsid w:val="1B3721C8"/>
    <w:rsid w:val="1B486183"/>
    <w:rsid w:val="1B927DD1"/>
    <w:rsid w:val="1BCF2B71"/>
    <w:rsid w:val="1C263E88"/>
    <w:rsid w:val="1C6D06D7"/>
    <w:rsid w:val="1D3A0284"/>
    <w:rsid w:val="1DCB535E"/>
    <w:rsid w:val="1DFFB3F8"/>
    <w:rsid w:val="1F136AA8"/>
    <w:rsid w:val="1FEB3581"/>
    <w:rsid w:val="20435030"/>
    <w:rsid w:val="20EE77A3"/>
    <w:rsid w:val="220E3E9E"/>
    <w:rsid w:val="22453160"/>
    <w:rsid w:val="22E8419D"/>
    <w:rsid w:val="23FA0237"/>
    <w:rsid w:val="24194B61"/>
    <w:rsid w:val="249D327E"/>
    <w:rsid w:val="24DE25E6"/>
    <w:rsid w:val="26086C3B"/>
    <w:rsid w:val="263435E5"/>
    <w:rsid w:val="263D3F96"/>
    <w:rsid w:val="27CE6E7A"/>
    <w:rsid w:val="285F30B0"/>
    <w:rsid w:val="29143B49"/>
    <w:rsid w:val="2A5D464D"/>
    <w:rsid w:val="2A75410F"/>
    <w:rsid w:val="2A880E1D"/>
    <w:rsid w:val="2AA34250"/>
    <w:rsid w:val="2AA358A3"/>
    <w:rsid w:val="2B603794"/>
    <w:rsid w:val="2C1B0D4A"/>
    <w:rsid w:val="2DF126AA"/>
    <w:rsid w:val="2F9B28CE"/>
    <w:rsid w:val="2FFD8E40"/>
    <w:rsid w:val="30347592"/>
    <w:rsid w:val="306B6744"/>
    <w:rsid w:val="30FF0F4F"/>
    <w:rsid w:val="31045B89"/>
    <w:rsid w:val="31445AD2"/>
    <w:rsid w:val="32201EB1"/>
    <w:rsid w:val="32366D6B"/>
    <w:rsid w:val="34495732"/>
    <w:rsid w:val="3604551F"/>
    <w:rsid w:val="3644480A"/>
    <w:rsid w:val="36541A28"/>
    <w:rsid w:val="365841AE"/>
    <w:rsid w:val="36B670C2"/>
    <w:rsid w:val="37042369"/>
    <w:rsid w:val="380354B4"/>
    <w:rsid w:val="38211DDE"/>
    <w:rsid w:val="38257DE4"/>
    <w:rsid w:val="38353A8A"/>
    <w:rsid w:val="38413B3E"/>
    <w:rsid w:val="38532E42"/>
    <w:rsid w:val="385828C1"/>
    <w:rsid w:val="390F1A9A"/>
    <w:rsid w:val="3A0D7142"/>
    <w:rsid w:val="3A3951BD"/>
    <w:rsid w:val="3B1743D8"/>
    <w:rsid w:val="3B644241"/>
    <w:rsid w:val="3D72154A"/>
    <w:rsid w:val="3DB04ECE"/>
    <w:rsid w:val="3DBFDC0A"/>
    <w:rsid w:val="3E151A9D"/>
    <w:rsid w:val="3E431692"/>
    <w:rsid w:val="3E6E56EE"/>
    <w:rsid w:val="3F7809C4"/>
    <w:rsid w:val="41943621"/>
    <w:rsid w:val="419C2362"/>
    <w:rsid w:val="41E501B8"/>
    <w:rsid w:val="42C615B8"/>
    <w:rsid w:val="42E3376C"/>
    <w:rsid w:val="42F41DA1"/>
    <w:rsid w:val="436B0CCB"/>
    <w:rsid w:val="436D5ED7"/>
    <w:rsid w:val="43BD286C"/>
    <w:rsid w:val="44A4014A"/>
    <w:rsid w:val="44A825EB"/>
    <w:rsid w:val="44B33264"/>
    <w:rsid w:val="454825B1"/>
    <w:rsid w:val="45811D29"/>
    <w:rsid w:val="45CA13BF"/>
    <w:rsid w:val="45F07FE8"/>
    <w:rsid w:val="471B22A1"/>
    <w:rsid w:val="474A4194"/>
    <w:rsid w:val="475FA5FB"/>
    <w:rsid w:val="47A04ACD"/>
    <w:rsid w:val="47B55DC2"/>
    <w:rsid w:val="47EE1F3B"/>
    <w:rsid w:val="481E3C44"/>
    <w:rsid w:val="484334C8"/>
    <w:rsid w:val="48473501"/>
    <w:rsid w:val="48603129"/>
    <w:rsid w:val="486D017A"/>
    <w:rsid w:val="48AE4977"/>
    <w:rsid w:val="4ADC0B7C"/>
    <w:rsid w:val="4B352E5D"/>
    <w:rsid w:val="4B58282B"/>
    <w:rsid w:val="4C4874E2"/>
    <w:rsid w:val="4C8B19C3"/>
    <w:rsid w:val="4DBB07BE"/>
    <w:rsid w:val="4E097A0F"/>
    <w:rsid w:val="4E8812BF"/>
    <w:rsid w:val="4ECC7CA4"/>
    <w:rsid w:val="4EDA1F52"/>
    <w:rsid w:val="4EE02326"/>
    <w:rsid w:val="4FC64420"/>
    <w:rsid w:val="514D7D1E"/>
    <w:rsid w:val="519A433C"/>
    <w:rsid w:val="52410C5B"/>
    <w:rsid w:val="524D6E98"/>
    <w:rsid w:val="52A50EEF"/>
    <w:rsid w:val="52F43F1F"/>
    <w:rsid w:val="54036BD4"/>
    <w:rsid w:val="54B659A7"/>
    <w:rsid w:val="55804813"/>
    <w:rsid w:val="55FC5C1D"/>
    <w:rsid w:val="5673586F"/>
    <w:rsid w:val="57EC6503"/>
    <w:rsid w:val="583C439E"/>
    <w:rsid w:val="586027F4"/>
    <w:rsid w:val="590B08CA"/>
    <w:rsid w:val="59741916"/>
    <w:rsid w:val="598D0FDE"/>
    <w:rsid w:val="5AA73C6B"/>
    <w:rsid w:val="5AB50FC1"/>
    <w:rsid w:val="5AB741C7"/>
    <w:rsid w:val="5AF90B79"/>
    <w:rsid w:val="5BBE3AFE"/>
    <w:rsid w:val="5C1967A5"/>
    <w:rsid w:val="5C4E0C1B"/>
    <w:rsid w:val="5C5C0361"/>
    <w:rsid w:val="5CD1185B"/>
    <w:rsid w:val="5E2561F1"/>
    <w:rsid w:val="5EA11DC5"/>
    <w:rsid w:val="5EF84D97"/>
    <w:rsid w:val="5F552451"/>
    <w:rsid w:val="5F653658"/>
    <w:rsid w:val="5FDD7713"/>
    <w:rsid w:val="60B13450"/>
    <w:rsid w:val="60B74988"/>
    <w:rsid w:val="60D30A5C"/>
    <w:rsid w:val="60D809DC"/>
    <w:rsid w:val="610E77EE"/>
    <w:rsid w:val="616E1356"/>
    <w:rsid w:val="618741B1"/>
    <w:rsid w:val="61E51DE2"/>
    <w:rsid w:val="62AA45FB"/>
    <w:rsid w:val="63215D62"/>
    <w:rsid w:val="637C5F97"/>
    <w:rsid w:val="63C012CD"/>
    <w:rsid w:val="63D60996"/>
    <w:rsid w:val="63E7059E"/>
    <w:rsid w:val="64671D6D"/>
    <w:rsid w:val="6496118C"/>
    <w:rsid w:val="64F425BA"/>
    <w:rsid w:val="65624D19"/>
    <w:rsid w:val="65F067C8"/>
    <w:rsid w:val="67B83316"/>
    <w:rsid w:val="67E265E5"/>
    <w:rsid w:val="68364B42"/>
    <w:rsid w:val="683B486A"/>
    <w:rsid w:val="69201173"/>
    <w:rsid w:val="694E2184"/>
    <w:rsid w:val="695B0665"/>
    <w:rsid w:val="6A350EF2"/>
    <w:rsid w:val="6A4C294C"/>
    <w:rsid w:val="6A8917B4"/>
    <w:rsid w:val="6A8B4D12"/>
    <w:rsid w:val="6B142D29"/>
    <w:rsid w:val="6DA22A9E"/>
    <w:rsid w:val="6DB30807"/>
    <w:rsid w:val="6E934195"/>
    <w:rsid w:val="6F51552C"/>
    <w:rsid w:val="6F814088"/>
    <w:rsid w:val="70073196"/>
    <w:rsid w:val="700C41FF"/>
    <w:rsid w:val="70AB487B"/>
    <w:rsid w:val="71265794"/>
    <w:rsid w:val="71336CF5"/>
    <w:rsid w:val="713A4CEE"/>
    <w:rsid w:val="721675B7"/>
    <w:rsid w:val="72245452"/>
    <w:rsid w:val="72DF5BFA"/>
    <w:rsid w:val="737C3591"/>
    <w:rsid w:val="73981936"/>
    <w:rsid w:val="73A94138"/>
    <w:rsid w:val="73AF2E6B"/>
    <w:rsid w:val="741D504A"/>
    <w:rsid w:val="743E4BA3"/>
    <w:rsid w:val="749F4FD0"/>
    <w:rsid w:val="74AA048A"/>
    <w:rsid w:val="75E0564B"/>
    <w:rsid w:val="761262E7"/>
    <w:rsid w:val="769C30B7"/>
    <w:rsid w:val="76FA5181"/>
    <w:rsid w:val="774E700A"/>
    <w:rsid w:val="77866F8C"/>
    <w:rsid w:val="788B3CBB"/>
    <w:rsid w:val="79EF8EE7"/>
    <w:rsid w:val="79F16039"/>
    <w:rsid w:val="7A6D6BEC"/>
    <w:rsid w:val="7B0D76A7"/>
    <w:rsid w:val="7B362A78"/>
    <w:rsid w:val="7B856B52"/>
    <w:rsid w:val="7B8A016D"/>
    <w:rsid w:val="7B8D45BA"/>
    <w:rsid w:val="7BCD5EC8"/>
    <w:rsid w:val="7C211BE0"/>
    <w:rsid w:val="7C7F3FAA"/>
    <w:rsid w:val="7CD767BD"/>
    <w:rsid w:val="7D123AB2"/>
    <w:rsid w:val="7EC30AC6"/>
    <w:rsid w:val="7EF74642"/>
    <w:rsid w:val="7EFF6B81"/>
    <w:rsid w:val="7F5B6984"/>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3974</Words>
  <Characters>4058</Characters>
  <Lines>0</Lines>
  <Paragraphs>0</Paragraphs>
  <TotalTime>10</TotalTime>
  <ScaleCrop>false</ScaleCrop>
  <LinksUpToDate>false</LinksUpToDate>
  <CharactersWithSpaces>4065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2025-11-23T14:51:00Z</dcterms:created>
  <dc:creator>user</dc:creator>
  <cp:lastModifiedBy>尤丹丹</cp:lastModifiedBy>
  <cp:lastPrinted>2025-12-20T08:38:00Z</cp:lastPrinted>
  <dcterms:modified xsi:type="dcterms:W3CDTF">2026-02-11T07:03:02Z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F883260142E3F2ECD8D0606903D96224</vt:lpwstr>
  </property>
</Properties>
</file>