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00" w:lineRule="exact"/>
        <w:jc w:val="center"/>
        <w:rPr>
          <w:rFonts w:ascii="楷体_GB2312" w:hAnsi="楷体_GB2312" w:eastAsia="楷体_GB2312" w:cs="楷体_GB2312"/>
          <w:b/>
          <w:kern w:val="0"/>
          <w:sz w:val="36"/>
          <w:szCs w:val="36"/>
        </w:rPr>
      </w:pPr>
      <w:r>
        <w:rPr>
          <w:rFonts w:hint="eastAsia" w:ascii="楷体_GB2312" w:hAnsi="楷体_GB2312" w:eastAsia="楷体_GB2312" w:cs="楷体_GB2312"/>
          <w:b/>
          <w:kern w:val="0"/>
          <w:sz w:val="36"/>
          <w:szCs w:val="36"/>
        </w:rPr>
        <w:t>财务评价业务约定书</w:t>
      </w:r>
    </w:p>
    <w:p>
      <w:pPr>
        <w:autoSpaceDE w:val="0"/>
        <w:autoSpaceDN w:val="0"/>
        <w:adjustRightInd w:val="0"/>
        <w:spacing w:line="4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4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</w:p>
    <w:p>
      <w:pPr>
        <w:autoSpaceDE w:val="0"/>
        <w:autoSpaceDN w:val="0"/>
        <w:spacing w:line="420" w:lineRule="exact"/>
        <w:rPr>
          <w:rFonts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b/>
          <w:kern w:val="0"/>
          <w:sz w:val="30"/>
          <w:szCs w:val="30"/>
        </w:rPr>
        <w:t>甲方:</w:t>
      </w:r>
      <w:r>
        <w:rPr>
          <w:rFonts w:hint="eastAsia" w:ascii="楷体" w:hAnsi="楷体" w:eastAsia="楷体" w:cs="楷体"/>
          <w:b/>
          <w:kern w:val="0"/>
          <w:sz w:val="30"/>
          <w:szCs w:val="30"/>
          <w:u w:val="single"/>
        </w:rPr>
        <w:t xml:space="preserve">上海市国有资产监督管理委员会   </w:t>
      </w:r>
    </w:p>
    <w:p>
      <w:pPr>
        <w:autoSpaceDE w:val="0"/>
        <w:autoSpaceDN w:val="0"/>
        <w:spacing w:line="420" w:lineRule="exact"/>
        <w:rPr>
          <w:rFonts w:ascii="楷体" w:hAnsi="楷体" w:eastAsia="楷体" w:cs="楷体"/>
          <w:b/>
          <w:kern w:val="0"/>
          <w:sz w:val="30"/>
          <w:szCs w:val="30"/>
        </w:rPr>
      </w:pPr>
      <w:r>
        <w:rPr>
          <w:rFonts w:hint="eastAsia" w:ascii="楷体" w:hAnsi="楷体" w:eastAsia="楷体" w:cs="楷体"/>
          <w:b/>
          <w:kern w:val="0"/>
          <w:sz w:val="30"/>
          <w:szCs w:val="30"/>
        </w:rPr>
        <w:t>乙方：</w:t>
      </w:r>
      <w:r>
        <w:rPr>
          <w:rFonts w:hint="eastAsia" w:ascii="楷体" w:hAnsi="楷体" w:eastAsia="楷体" w:cs="楷体"/>
          <w:b/>
          <w:kern w:val="0"/>
          <w:sz w:val="30"/>
          <w:szCs w:val="30"/>
          <w:u w:val="single"/>
          <w:lang w:val="en-US" w:eastAsia="zh-CN"/>
        </w:rPr>
        <w:t xml:space="preserve">                           </w:t>
      </w:r>
      <w:r>
        <w:rPr>
          <w:rFonts w:hint="eastAsia" w:ascii="楷体" w:hAnsi="楷体" w:eastAsia="楷体" w:cs="楷体"/>
          <w:b/>
          <w:kern w:val="0"/>
          <w:sz w:val="30"/>
          <w:szCs w:val="30"/>
          <w:u w:val="single"/>
        </w:rPr>
        <w:t xml:space="preserve">   </w:t>
      </w:r>
    </w:p>
    <w:p>
      <w:pPr>
        <w:autoSpaceDE w:val="0"/>
        <w:autoSpaceDN w:val="0"/>
        <w:spacing w:line="420" w:lineRule="exact"/>
        <w:rPr>
          <w:rFonts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b/>
          <w:kern w:val="0"/>
          <w:sz w:val="30"/>
          <w:szCs w:val="30"/>
        </w:rPr>
        <w:t>丙方：</w:t>
      </w:r>
      <w:r>
        <w:rPr>
          <w:rFonts w:hint="eastAsia" w:ascii="楷体" w:hAnsi="楷体" w:eastAsia="楷体" w:cs="楷体"/>
          <w:b/>
          <w:kern w:val="0"/>
          <w:sz w:val="30"/>
          <w:szCs w:val="30"/>
          <w:u w:val="single"/>
        </w:rPr>
        <w:t xml:space="preserve">                               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兹由甲方委托乙方咨询团队对丙方开展</w:t>
      </w:r>
      <w:r>
        <w:rPr>
          <w:rFonts w:hint="eastAsia" w:ascii="楷体_GB2312" w:hAnsi="楷体_GB2312" w:eastAsia="楷体_GB2312" w:cs="楷体_GB2312"/>
          <w:kern w:val="0"/>
          <w:sz w:val="24"/>
          <w:lang w:eastAsia="zh-CN"/>
        </w:rPr>
        <w:t>二〇二三</w:t>
      </w:r>
      <w:r>
        <w:rPr>
          <w:rFonts w:hint="eastAsia" w:ascii="楷体_GB2312" w:hAnsi="楷体_GB2312" w:eastAsia="楷体_GB2312" w:cs="楷体_GB2312"/>
          <w:kern w:val="0"/>
          <w:sz w:val="24"/>
        </w:rPr>
        <w:t>年度财务评价工作，经叁方协商，达成以下约定：</w:t>
      </w: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hint="default" w:ascii="楷体_GB2312" w:hAnsi="楷体_GB2312" w:eastAsia="楷体_GB2312" w:cs="楷体_GB2312"/>
          <w:b/>
          <w:bCs/>
          <w:kern w:val="0"/>
          <w:sz w:val="2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一、委托目的与业务范围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1. 委托目的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由甲方委托乙方开展对丙方的年度财务评价工作，具体要求如下：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（1）出具丙方</w:t>
      </w:r>
      <w:r>
        <w:rPr>
          <w:rFonts w:hint="eastAsia" w:ascii="楷体_GB2312" w:hAnsi="楷体_GB2312" w:eastAsia="楷体_GB2312" w:cs="楷体_GB2312"/>
          <w:kern w:val="0"/>
          <w:sz w:val="24"/>
          <w:lang w:eastAsia="zh-CN"/>
        </w:rPr>
        <w:t>二〇二三</w:t>
      </w:r>
      <w:r>
        <w:rPr>
          <w:rFonts w:hint="eastAsia" w:ascii="楷体_GB2312" w:hAnsi="楷体_GB2312" w:eastAsia="楷体_GB2312" w:cs="楷体_GB2312"/>
          <w:kern w:val="0"/>
          <w:sz w:val="24"/>
        </w:rPr>
        <w:t>年度财务评价书。财务评价是站在出资人角度，重点关注企业价值，围绕企业发展总体目标和战略规划，立足企业高质量发展，结合分类监管和重点子企业管理要求，以财务数据为基础，结合宏观、行业、主要业务发展态势，对企业财务指标情况、主责主业情况、质量效益情况、风险管控情况和财务管控水平等方面进行研究评价并提出建议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（2）配合甲方开展财务分析工作</w:t>
      </w:r>
      <w:r>
        <w:rPr>
          <w:rFonts w:hint="eastAsia" w:ascii="楷体_GB2312" w:hAnsi="楷体_GB2312" w:eastAsia="楷体_GB2312" w:cs="楷体_GB2312"/>
          <w:kern w:val="0"/>
          <w:sz w:val="24"/>
          <w:lang w:eastAsia="zh-CN"/>
        </w:rPr>
        <w:t>，并按要求出具各类评价报告</w:t>
      </w:r>
      <w:r>
        <w:rPr>
          <w:rFonts w:hint="eastAsia" w:ascii="楷体_GB2312" w:hAnsi="楷体_GB2312" w:eastAsia="楷体_GB2312" w:cs="楷体_GB2312"/>
          <w:kern w:val="0"/>
          <w:sz w:val="24"/>
        </w:rPr>
        <w:t>。财务分析工作是配合甲方，对企业的重大事项、专题事项进行分析及评价。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2.业务范围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本次约定业务范围包括丙方</w:t>
      </w:r>
      <w:r>
        <w:rPr>
          <w:rFonts w:hint="eastAsia" w:ascii="楷体_GB2312" w:hAnsi="楷体_GB2312" w:eastAsia="楷体_GB2312" w:cs="楷体_GB2312"/>
          <w:kern w:val="0"/>
          <w:sz w:val="24"/>
          <w:lang w:eastAsia="zh-CN"/>
        </w:rPr>
        <w:t>二〇二三</w:t>
      </w:r>
      <w:r>
        <w:rPr>
          <w:rFonts w:hint="eastAsia" w:ascii="楷体_GB2312" w:hAnsi="楷体_GB2312" w:eastAsia="楷体_GB2312" w:cs="楷体_GB2312"/>
          <w:kern w:val="0"/>
          <w:sz w:val="24"/>
        </w:rPr>
        <w:t>年度财务评价书及配合甲方开展日常财务分析</w:t>
      </w:r>
      <w:r>
        <w:rPr>
          <w:rFonts w:hint="eastAsia" w:ascii="楷体_GB2312" w:hAnsi="楷体_GB2312" w:eastAsia="楷体_GB2312" w:cs="楷体_GB2312"/>
          <w:kern w:val="0"/>
          <w:sz w:val="24"/>
          <w:lang w:eastAsia="zh-CN"/>
        </w:rPr>
        <w:t>、专项</w:t>
      </w:r>
      <w:r>
        <w:rPr>
          <w:rFonts w:hint="eastAsia" w:ascii="楷体_GB2312" w:hAnsi="楷体_GB2312" w:eastAsia="楷体_GB2312" w:cs="楷体_GB2312"/>
          <w:kern w:val="0"/>
          <w:sz w:val="24"/>
        </w:rPr>
        <w:t>评价工作。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二、甲方的义务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1．按本约定书之规定及时足额支付审计费用。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2．协调乙方工作过程中出现的有关问题。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3．按照有关规定建立财务评价质量评价相关制度及工作档案，对中介机构的财务评价工作质量进行审核，审核标准参考本业务约定书要求。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三、乙方的责任和义务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（一）乙方的责任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1．乙方的责任是按照业务约定书的要求，按时、按质、按量完成工作。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2．乙方应当及时跟踪和关注企业期后发生的重大事项。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3．乙方的出具的财务评价书不能减轻丙方及丙方管理层的责任。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（二）乙方的义务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1.乙方应</w:t>
      </w:r>
      <w:r>
        <w:rPr>
          <w:rFonts w:hint="eastAsia" w:ascii="楷体_GB2312" w:hAnsi="楷体_GB2312" w:eastAsia="楷体_GB2312" w:cs="楷体_GB2312"/>
          <w:kern w:val="0"/>
          <w:sz w:val="24"/>
          <w:lang w:eastAsia="zh-CN"/>
        </w:rPr>
        <w:t>于出具报告之前及时和甲方进行沟通</w:t>
      </w:r>
      <w:r>
        <w:rPr>
          <w:rFonts w:hint="eastAsia" w:ascii="楷体_GB2312" w:hAnsi="楷体_GB2312" w:eastAsia="楷体_GB2312" w:cs="楷体_GB2312"/>
          <w:kern w:val="0"/>
          <w:sz w:val="24"/>
        </w:rPr>
        <w:t>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2. 乙方应于</w:t>
      </w:r>
      <w:r>
        <w:rPr>
          <w:rFonts w:hint="eastAsia" w:ascii="楷体_GB2312" w:hAnsi="楷体_GB2312" w:eastAsia="楷体_GB2312" w:cs="楷体_GB2312"/>
          <w:kern w:val="0"/>
          <w:sz w:val="24"/>
          <w:u w:val="single"/>
          <w:lang w:eastAsia="zh-CN"/>
        </w:rPr>
        <w:t>2024</w:t>
      </w:r>
      <w:r>
        <w:rPr>
          <w:rFonts w:hint="eastAsia" w:ascii="楷体_GB2312" w:hAnsi="楷体_GB2312" w:eastAsia="楷体_GB2312" w:cs="楷体_GB2312"/>
          <w:kern w:val="0"/>
          <w:sz w:val="24"/>
          <w:u w:val="single"/>
        </w:rPr>
        <w:t>年5月15日</w:t>
      </w:r>
      <w:r>
        <w:rPr>
          <w:rFonts w:hint="eastAsia" w:ascii="楷体_GB2312" w:hAnsi="楷体_GB2312" w:eastAsia="楷体_GB2312" w:cs="楷体_GB2312"/>
          <w:kern w:val="0"/>
          <w:sz w:val="24"/>
        </w:rPr>
        <w:t>前出具财务评价书。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3．乙方应按照甲方的要求出具</w:t>
      </w:r>
      <w:r>
        <w:rPr>
          <w:rFonts w:hint="eastAsia" w:ascii="楷体_GB2312" w:hAnsi="楷体_GB2312" w:eastAsia="楷体_GB2312" w:cs="楷体_GB2312"/>
          <w:kern w:val="0"/>
          <w:sz w:val="24"/>
          <w:lang w:eastAsia="zh-CN"/>
        </w:rPr>
        <w:t>专项评价报告以及</w:t>
      </w:r>
      <w:r>
        <w:rPr>
          <w:rFonts w:hint="eastAsia" w:ascii="楷体_GB2312" w:hAnsi="楷体_GB2312" w:eastAsia="楷体_GB2312" w:cs="楷体_GB2312"/>
          <w:kern w:val="0"/>
          <w:sz w:val="24"/>
        </w:rPr>
        <w:t>日常财务分析评价报告。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4. 乙方应按照甲方的要求进行财务评价书的修改完善,并积极配合甲方全年的财务分析</w:t>
      </w:r>
      <w:r>
        <w:rPr>
          <w:rFonts w:hint="eastAsia" w:ascii="楷体_GB2312" w:hAnsi="楷体_GB2312" w:eastAsia="楷体_GB2312" w:cs="楷体_GB2312"/>
          <w:kern w:val="0"/>
          <w:sz w:val="24"/>
          <w:lang w:eastAsia="zh-CN"/>
        </w:rPr>
        <w:t>、专项</w:t>
      </w:r>
      <w:r>
        <w:rPr>
          <w:rFonts w:hint="eastAsia" w:ascii="楷体_GB2312" w:hAnsi="楷体_GB2312" w:eastAsia="楷体_GB2312" w:cs="楷体_GB2312"/>
          <w:kern w:val="0"/>
          <w:sz w:val="24"/>
        </w:rPr>
        <w:t>评价</w:t>
      </w:r>
      <w:r>
        <w:rPr>
          <w:rFonts w:hint="eastAsia" w:ascii="楷体_GB2312" w:hAnsi="楷体_GB2312" w:eastAsia="楷体_GB2312" w:cs="楷体_GB2312"/>
          <w:kern w:val="0"/>
          <w:sz w:val="24"/>
          <w:lang w:eastAsia="zh-CN"/>
        </w:rPr>
        <w:t>及日常评价</w:t>
      </w:r>
      <w:r>
        <w:rPr>
          <w:rFonts w:hint="eastAsia" w:ascii="楷体_GB2312" w:hAnsi="楷体_GB2312" w:eastAsia="楷体_GB2312" w:cs="楷体_GB2312"/>
          <w:kern w:val="0"/>
          <w:sz w:val="24"/>
        </w:rPr>
        <w:t>工作。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5. 乙方应当对执行业务过程中知悉的丙方信息予以保密。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四、丙方的责任与义务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 xml:space="preserve">1．提供撰写财务评价书所需的财务数据、业务数据、年度预算、年度总结、战略规划等相关资料； 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2．积极配合乙方的财务分析评价工作，为乙方提供必要的帮助。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五、业务收费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1.本财务评价业务收费为人民币（大写）</w:t>
      </w:r>
      <w:r>
        <w:rPr>
          <w:rFonts w:hint="eastAsia" w:ascii="楷体" w:hAnsi="楷体" w:eastAsia="楷体" w:cs="楷体"/>
          <w:b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楷体_GB2312" w:hAnsi="楷体_GB2312" w:eastAsia="楷体_GB2312" w:cs="楷体_GB2312"/>
          <w:kern w:val="0"/>
          <w:sz w:val="24"/>
        </w:rPr>
        <w:t>元。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2.乙方应在本约定书成立之日，按照甲方工作要求和时限出具财务评价书和日常财务分析评价报告，经甲方确认符合本业务约定书项下的规定后支付。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六、质量审核结果的影响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财务分析评价质量评分采用百分制，且对于报告中有创新的予以加分，并对于不同质量等级采取下列相应的处理方法：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1.评分在80分以上（含）全额支付相关费用；评分在70-80分之间扣减相关费用的10%；评分在60-70分之间扣减相关费用的20%；60分以下扣减相关费用的40%。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2.连续两年未达60分的，该事务所三年内不再列入财务评价委托范围。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 xml:space="preserve">3.本次服务费用请汇入以下账户： 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收款单位：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开户银行：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银行账号：</w:t>
      </w:r>
      <w:bookmarkStart w:id="0" w:name="_GoBack"/>
      <w:bookmarkEnd w:id="0"/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账户信息发生变更，乙方需书面通知甲方。乙方因以上信息变更未按本约定书通知而使甲乙双方遭受的损失，由违约方向守约方承担损失责任。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七、财务分析评价的出具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1.乙方按照甲方规定的要求，并应结合企业实际情况，在约定时间内出具丙方财务评价书书及日常财务分析报告，直接报送两份给甲方。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2.上述报告的电子版（word和pdf）。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八、本约定书的有效期间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本约定书自签署之日起生效，并在各方履行完毕本约定书约定的所有义务后终止。但其中第三（二）3、九项并不因本约定书终止而失效。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九、约定事项的变更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如果出现不可预见的情况，影响乙方工作的如期完成，甲、乙、丙三方均可要求变更约定事项，但应及时通知其他二方，并由三方协商解决。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十、违约责任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甲、乙、丙三方按照现行法律法规承担违约责任。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十一、解决争议的办法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甲、乙、丙三方在实施本约定各条款过程中如发生争议，应平等协商，妥善解决；协商不成的，可向人民法院提起诉讼。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十二、双方对其他有关事项的约定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本合同以后年度续签相关事项按照《市国资委聘用审计中介机构管理办法（试行）》（沪国资委办发〔2021〕8号）和《国有企业、上市公司选聘会计师事务所管理办法》（财会〔2023〕4号）相关要求执行。本约定书一式叁份，甲、乙、丙方各执一份，具有同等法律效力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如有未尽事宜，三方经协商后可签订补充约定，补充约定与本约定具有同等法律效力。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甲方：（盖章）                      乙方：（盖章）</w:t>
      </w: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授权代表：（签章）                  授权代表：（签章）</w:t>
      </w: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  <w:lang w:eastAsia="zh-CN"/>
        </w:rPr>
        <w:t>二〇二四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年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月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 xml:space="preserve">日                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  <w:lang w:eastAsia="zh-CN"/>
        </w:rPr>
        <w:t>二〇二四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年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月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 xml:space="preserve">日 </w:t>
      </w: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丙方：（盖章）</w:t>
      </w: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 xml:space="preserve">授权代表：（签章）               </w:t>
      </w: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  <w:lang w:eastAsia="zh-CN"/>
        </w:rPr>
        <w:t>二〇二四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年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月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 xml:space="preserve">日 </w:t>
      </w:r>
    </w:p>
    <w:p/>
    <w:p/>
    <w:sectPr>
      <w:footerReference r:id="rId3" w:type="default"/>
      <w:footerReference r:id="rId4" w:type="even"/>
      <w:pgSz w:w="11906" w:h="16838"/>
      <w:pgMar w:top="851" w:right="1588" w:bottom="119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7F31"/>
    <w:rsid w:val="00527F31"/>
    <w:rsid w:val="005C2DE3"/>
    <w:rsid w:val="008474F6"/>
    <w:rsid w:val="00A164EF"/>
    <w:rsid w:val="00BD0556"/>
    <w:rsid w:val="266B1137"/>
    <w:rsid w:val="368B74FC"/>
    <w:rsid w:val="39944DA9"/>
    <w:rsid w:val="67ED4D3B"/>
    <w:rsid w:val="6FFB8803"/>
    <w:rsid w:val="7CF2E61A"/>
    <w:rsid w:val="7DBEF2FE"/>
    <w:rsid w:val="9F1ED2AA"/>
    <w:rsid w:val="B7D75D7D"/>
    <w:rsid w:val="BFE17EC9"/>
    <w:rsid w:val="EDAF5273"/>
    <w:rsid w:val="FE71D190"/>
    <w:rsid w:val="FFB409C9"/>
    <w:rsid w:val="FFFBD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295</Words>
  <Characters>1684</Characters>
  <Lines>14</Lines>
  <Paragraphs>3</Paragraphs>
  <TotalTime>0</TotalTime>
  <ScaleCrop>false</ScaleCrop>
  <LinksUpToDate>false</LinksUpToDate>
  <CharactersWithSpaces>1976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2019-12-22T18:33:00Z</dcterms:created>
  <dc:creator>钱清苑</dc:creator>
  <cp:lastModifiedBy>user</cp:lastModifiedBy>
  <dcterms:modified xsi:type="dcterms:W3CDTF">2024-01-29T09:38:23Z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F420D7D62E3572CCE5F07A635392FB50</vt:lpwstr>
  </property>
</Properties>
</file>