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bookmarkStart w:id="0" w:name="_Toc340646531"/>
      <w:bookmarkStart w:id="1" w:name="_Toc342295908"/>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《上海市国有控股公司章程指引（2020版）》</w:t>
      </w:r>
      <w:bookmarkEnd w:id="0"/>
      <w:bookmarkEnd w:id="1"/>
    </w:p>
    <w:p>
      <w:pPr>
        <w:pStyle w:val="2"/>
        <w:numPr>
          <w:ilvl w:val="0"/>
          <w:numId w:val="1"/>
        </w:numPr>
        <w:spacing w:before="249" w:beforeLines="80" w:after="249" w:afterLines="80" w:line="440" w:lineRule="exact"/>
        <w:ind w:left="0" w:firstLine="0"/>
        <w:jc w:val="center"/>
        <w:rPr>
          <w:rFonts w:eastAsia="仿宋"/>
          <w:color w:val="000000" w:themeColor="text1"/>
          <w:sz w:val="24"/>
          <w:szCs w:val="24"/>
          <w14:textFill>
            <w14:solidFill>
              <w14:schemeClr w14:val="tx1"/>
            </w14:solidFill>
          </w14:textFill>
        </w:rPr>
      </w:pPr>
      <w:bookmarkStart w:id="2" w:name="_Toc129958648"/>
      <w:bookmarkStart w:id="3" w:name="_Toc48290095"/>
      <w:bookmarkStart w:id="4" w:name="_Toc130021872"/>
      <w:r>
        <w:rPr>
          <w:rFonts w:eastAsia="仿宋"/>
          <w:color w:val="000000" w:themeColor="text1"/>
          <w:sz w:val="24"/>
          <w:szCs w:val="24"/>
          <w14:textFill>
            <w14:solidFill>
              <w14:schemeClr w14:val="tx1"/>
            </w14:solidFill>
          </w14:textFill>
        </w:rPr>
        <w:t>总则</w:t>
      </w:r>
      <w:bookmarkEnd w:id="2"/>
      <w:bookmarkEnd w:id="3"/>
      <w:bookmarkEnd w:id="4"/>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[目的和效力]</w:t>
      </w:r>
      <w:r>
        <w:rPr>
          <w:rFonts w:eastAsia="仿宋"/>
          <w:bCs/>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为规范【公司名称】（以下简称“公司”）的组织和行为，坚持和加强党的全面领导，完善公司法人治理结构，建设中国特色现代国有企业制度，维护公司、股东和债权人的合法权益，根据《中华人民共和国公司法》（以下简称“《公司法》”）、《中华人民共和国企业国有资产法》（以下简称“《企业国有资产法》”）、《企业国有资产监督管理暂行条例》等</w:t>
      </w:r>
      <w:r>
        <w:rPr>
          <w:rFonts w:eastAsia="仿宋"/>
          <w:bCs/>
          <w:color w:val="000000" w:themeColor="text1"/>
          <w:sz w:val="24"/>
          <w14:textFill>
            <w14:solidFill>
              <w14:schemeClr w14:val="tx1"/>
            </w14:solidFill>
          </w14:textFill>
        </w:rPr>
        <w:t>法律</w:t>
      </w:r>
      <w:r>
        <w:rPr>
          <w:rFonts w:hint="eastAsia" w:eastAsia="仿宋"/>
          <w:bCs/>
          <w:color w:val="000000" w:themeColor="text1"/>
          <w:sz w:val="24"/>
          <w14:textFill>
            <w14:solidFill>
              <w14:schemeClr w14:val="tx1"/>
            </w14:solidFill>
          </w14:textFill>
        </w:rPr>
        <w:t>、</w:t>
      </w:r>
      <w:r>
        <w:rPr>
          <w:rFonts w:eastAsia="仿宋"/>
          <w:bCs/>
          <w:color w:val="000000" w:themeColor="text1"/>
          <w:sz w:val="24"/>
          <w14:textFill>
            <w14:solidFill>
              <w14:schemeClr w14:val="tx1"/>
            </w14:solidFill>
          </w14:textFill>
        </w:rPr>
        <w:t>法规</w:t>
      </w:r>
      <w:r>
        <w:rPr>
          <w:rFonts w:hint="eastAsia" w:eastAsia="仿宋"/>
          <w:bCs/>
          <w:color w:val="000000" w:themeColor="text1"/>
          <w:sz w:val="24"/>
          <w14:textFill>
            <w14:solidFill>
              <w14:schemeClr w14:val="tx1"/>
            </w14:solidFill>
          </w14:textFill>
        </w:rPr>
        <w:t>、规章和规范性文件</w:t>
      </w:r>
      <w:r>
        <w:rPr>
          <w:rFonts w:eastAsia="仿宋"/>
          <w:color w:val="000000" w:themeColor="text1"/>
          <w:sz w:val="24"/>
          <w14:textFill>
            <w14:solidFill>
              <w14:schemeClr w14:val="tx1"/>
            </w14:solidFill>
          </w14:textFill>
        </w:rPr>
        <w:t>，制定本章程。</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本章程系规范公司组织与行为的法律文件，对股东、公司、董事、监事以及高级管理人员均具有法律约束力。</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bCs/>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[公司的设立和开展经营活动]</w:t>
      </w:r>
      <w:r>
        <w:rPr>
          <w:rFonts w:eastAsia="仿宋"/>
          <w:bCs/>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公司是依法设立的有限责任公司。公司应根据《公司法》、</w:t>
      </w:r>
      <w:r>
        <w:rPr>
          <w:rFonts w:eastAsia="仿宋"/>
          <w:color w:val="000000" w:themeColor="text1"/>
          <w:sz w:val="24"/>
          <w14:textFill>
            <w14:solidFill>
              <w14:schemeClr w14:val="tx1"/>
            </w14:solidFill>
          </w14:textFill>
        </w:rPr>
        <w:t>《企业国有资产法》</w:t>
      </w:r>
      <w:r>
        <w:rPr>
          <w:rFonts w:eastAsia="仿宋"/>
          <w:bCs/>
          <w:color w:val="000000" w:themeColor="text1"/>
          <w:sz w:val="24"/>
          <w14:textFill>
            <w14:solidFill>
              <w14:schemeClr w14:val="tx1"/>
            </w14:solidFill>
          </w14:textFill>
        </w:rPr>
        <w:t>及其他有关法律</w:t>
      </w:r>
      <w:r>
        <w:rPr>
          <w:rFonts w:hint="eastAsia" w:eastAsia="仿宋"/>
          <w:bCs/>
          <w:color w:val="000000" w:themeColor="text1"/>
          <w:sz w:val="24"/>
          <w14:textFill>
            <w14:solidFill>
              <w14:schemeClr w14:val="tx1"/>
            </w14:solidFill>
          </w14:textFill>
        </w:rPr>
        <w:t>、</w:t>
      </w:r>
      <w:r>
        <w:rPr>
          <w:rFonts w:eastAsia="仿宋"/>
          <w:bCs/>
          <w:color w:val="000000" w:themeColor="text1"/>
          <w:sz w:val="24"/>
          <w14:textFill>
            <w14:solidFill>
              <w14:schemeClr w14:val="tx1"/>
            </w14:solidFill>
          </w14:textFill>
        </w:rPr>
        <w:t>法规</w:t>
      </w:r>
      <w:r>
        <w:rPr>
          <w:rFonts w:hint="eastAsia" w:eastAsia="仿宋"/>
          <w:bCs/>
          <w:color w:val="000000" w:themeColor="text1"/>
          <w:sz w:val="24"/>
          <w14:textFill>
            <w14:solidFill>
              <w14:schemeClr w14:val="tx1"/>
            </w14:solidFill>
          </w14:textFill>
        </w:rPr>
        <w:t>、规章、规范性文件以及</w:t>
      </w:r>
      <w:r>
        <w:rPr>
          <w:rFonts w:eastAsia="仿宋"/>
          <w:bCs/>
          <w:color w:val="000000" w:themeColor="text1"/>
          <w:sz w:val="24"/>
          <w14:textFill>
            <w14:solidFill>
              <w14:schemeClr w14:val="tx1"/>
            </w14:solidFill>
          </w14:textFill>
        </w:rPr>
        <w:t>本章程的规定，并依据上海市人民政府</w:t>
      </w:r>
      <w:bookmarkStart w:id="5" w:name="_Hlk54942265"/>
      <w:r>
        <w:rPr>
          <w:rFonts w:eastAsia="仿宋"/>
          <w:bCs/>
          <w:color w:val="000000" w:themeColor="text1"/>
          <w:sz w:val="24"/>
          <w14:textFill>
            <w14:solidFill>
              <w14:schemeClr w14:val="tx1"/>
            </w14:solidFill>
          </w14:textFill>
        </w:rPr>
        <w:t>（以下简称“市政府”）</w:t>
      </w:r>
      <w:bookmarkEnd w:id="5"/>
      <w:r>
        <w:rPr>
          <w:rFonts w:eastAsia="仿宋"/>
          <w:bCs/>
          <w:color w:val="000000" w:themeColor="text1"/>
          <w:sz w:val="24"/>
          <w14:textFill>
            <w14:solidFill>
              <w14:schemeClr w14:val="tx1"/>
            </w14:solidFill>
          </w14:textFill>
        </w:rPr>
        <w:t>及上海市国有资产监督管理委员会（以下简称“市国资委”）的监管依法开展经营活动。</w:t>
      </w:r>
      <w:r>
        <w:rPr>
          <w:rFonts w:eastAsia="仿宋"/>
          <w:bCs/>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公司依法接受市国资委的相关规范性文件和制度的约束，确保国家法律法规和市国资委各项监管制度的有效执行。公司应严格执行市政府、市国资委下发的各项决定文件，实现国有资产的保值增值。</w:t>
      </w:r>
      <w:r>
        <w:rPr>
          <w:rFonts w:eastAsia="仿宋"/>
          <w:bCs/>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[法人财产权和公司、股东的有限责任]</w:t>
      </w:r>
      <w:r>
        <w:rPr>
          <w:rFonts w:hint="eastAsia" w:eastAsia="仿宋"/>
          <w:b/>
          <w:bCs/>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公司是</w:t>
      </w:r>
      <w:r>
        <w:rPr>
          <w:rFonts w:hint="eastAsia" w:eastAsia="仿宋"/>
          <w:color w:val="000000" w:themeColor="text1"/>
          <w:sz w:val="24"/>
          <w14:textFill>
            <w14:solidFill>
              <w14:schemeClr w14:val="tx1"/>
            </w14:solidFill>
          </w14:textFill>
        </w:rPr>
        <w:t>企业</w:t>
      </w:r>
      <w:r>
        <w:rPr>
          <w:rFonts w:eastAsia="仿宋"/>
          <w:color w:val="000000" w:themeColor="text1"/>
          <w:sz w:val="24"/>
          <w14:textFill>
            <w14:solidFill>
              <w14:schemeClr w14:val="tx1"/>
            </w14:solidFill>
          </w14:textFill>
        </w:rPr>
        <w:t>法人，自企业法人营业执照签发之日起取得法人资格。公司有独立的法人财产，依法享有法人财产权</w:t>
      </w:r>
      <w:bookmarkStart w:id="6" w:name="_Hlk54942557"/>
      <w:r>
        <w:rPr>
          <w:rFonts w:eastAsia="仿宋"/>
          <w:bCs/>
          <w:color w:val="000000" w:themeColor="text1"/>
          <w:sz w:val="24"/>
          <w14:textFill>
            <w14:solidFill>
              <w14:schemeClr w14:val="tx1"/>
            </w14:solidFill>
          </w14:textFill>
        </w:rPr>
        <w:t>，对其动产、不动产和其他财产依照法律</w:t>
      </w:r>
      <w:r>
        <w:rPr>
          <w:rFonts w:hint="eastAsia" w:eastAsia="仿宋"/>
          <w:bCs/>
          <w:color w:val="000000" w:themeColor="text1"/>
          <w:sz w:val="24"/>
          <w14:textFill>
            <w14:solidFill>
              <w14:schemeClr w14:val="tx1"/>
            </w14:solidFill>
          </w14:textFill>
        </w:rPr>
        <w:t>、</w:t>
      </w:r>
      <w:r>
        <w:rPr>
          <w:rFonts w:eastAsia="仿宋"/>
          <w:bCs/>
          <w:color w:val="000000" w:themeColor="text1"/>
          <w:sz w:val="24"/>
          <w14:textFill>
            <w14:solidFill>
              <w14:schemeClr w14:val="tx1"/>
            </w14:solidFill>
          </w14:textFill>
        </w:rPr>
        <w:t>法规</w:t>
      </w:r>
      <w:r>
        <w:rPr>
          <w:rFonts w:hint="eastAsia" w:eastAsia="仿宋"/>
          <w:bCs/>
          <w:color w:val="000000" w:themeColor="text1"/>
          <w:sz w:val="24"/>
          <w14:textFill>
            <w14:solidFill>
              <w14:schemeClr w14:val="tx1"/>
            </w14:solidFill>
          </w14:textFill>
        </w:rPr>
        <w:t>、规章、规范性文件</w:t>
      </w:r>
      <w:r>
        <w:rPr>
          <w:rFonts w:eastAsia="仿宋"/>
          <w:bCs/>
          <w:color w:val="000000" w:themeColor="text1"/>
          <w:sz w:val="24"/>
          <w14:textFill>
            <w14:solidFill>
              <w14:schemeClr w14:val="tx1"/>
            </w14:solidFill>
          </w14:textFill>
        </w:rPr>
        <w:t>以及本章程</w:t>
      </w:r>
      <w:r>
        <w:rPr>
          <w:rFonts w:hint="eastAsia" w:eastAsia="仿宋"/>
          <w:bCs/>
          <w:color w:val="000000" w:themeColor="text1"/>
          <w:sz w:val="24"/>
          <w14:textFill>
            <w14:solidFill>
              <w14:schemeClr w14:val="tx1"/>
            </w14:solidFill>
          </w14:textFill>
        </w:rPr>
        <w:t>的</w:t>
      </w:r>
      <w:r>
        <w:rPr>
          <w:rFonts w:eastAsia="仿宋"/>
          <w:bCs/>
          <w:color w:val="000000" w:themeColor="text1"/>
          <w:sz w:val="24"/>
          <w14:textFill>
            <w14:solidFill>
              <w14:schemeClr w14:val="tx1"/>
            </w14:solidFill>
          </w14:textFill>
        </w:rPr>
        <w:t>规定享有占有、使用、收益和处分的权利</w:t>
      </w:r>
      <w:bookmarkEnd w:id="6"/>
      <w:r>
        <w:rPr>
          <w:rFonts w:eastAsia="仿宋"/>
          <w:bCs/>
          <w:color w:val="000000" w:themeColor="text1"/>
          <w:sz w:val="24"/>
          <w14:textFill>
            <w14:solidFill>
              <w14:schemeClr w14:val="tx1"/>
            </w14:solidFill>
          </w14:textFill>
        </w:rPr>
        <w:t>。</w:t>
      </w:r>
      <w:bookmarkStart w:id="7" w:name="OLE_LINK6"/>
      <w:bookmarkStart w:id="8" w:name="OLE_LINK5"/>
      <w:r>
        <w:rPr>
          <w:rFonts w:eastAsia="仿宋"/>
          <w:color w:val="000000" w:themeColor="text1"/>
          <w:sz w:val="24"/>
          <w14:textFill>
            <w14:solidFill>
              <w14:schemeClr w14:val="tx1"/>
            </w14:solidFill>
          </w14:textFill>
        </w:rPr>
        <w:br w:type="textWrapping"/>
      </w:r>
      <w:bookmarkEnd w:id="7"/>
      <w:bookmarkEnd w:id="8"/>
      <w:r>
        <w:rPr>
          <w:rFonts w:eastAsia="仿宋"/>
          <w:color w:val="000000" w:themeColor="text1"/>
          <w:sz w:val="24"/>
          <w14:textFill>
            <w14:solidFill>
              <w14:schemeClr w14:val="tx1"/>
            </w14:solidFill>
          </w14:textFill>
        </w:rPr>
        <w:t xml:space="preserve">    公司以其全部财产对公司的债务承担责任。股东以其认缴的出资额为限对公司承担责任。</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482" w:firstLineChars="200"/>
        <w:contextualSpacing/>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[公司党组织]</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公司根据《中国共产党章程》规定，设立中国共产党的组织，开展党的活动</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建立党的工作机构，配齐配强党务工作人员，保障党组织的工作经费</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p>
    <w:p>
      <w:pPr>
        <w:pStyle w:val="38"/>
        <w:numPr>
          <w:ilvl w:val="0"/>
          <w:numId w:val="2"/>
        </w:numPr>
        <w:spacing w:line="360" w:lineRule="auto"/>
        <w:ind w:left="0" w:firstLine="482"/>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[对外投资及限制]</w:t>
      </w:r>
      <w:r>
        <w:rPr>
          <w:rFonts w:eastAsia="仿宋"/>
          <w:b/>
          <w:bCs/>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公司投资活动应当遵循以下基本原则：</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（一）战略引领。服从服务国家和上海市发展战略，符合国资布局和结构调整方向，坚持聚焦主业，注重境内外业务协同，不断提升创新能力、品牌影响力和核心竞争力。</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（二）依法合规。遵守我国和投资所在国家（地区）法律法规、商业规则和文化习俗，遵守国有资产监管有关制度规定，程序规范，合规投资。</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（三）能力匹配。投资规模应当与公司资本实力、融资能力、行业经验、管理水平和抗风险能力相适应。</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（四）合理回报。遵循价值创造理念，加强投资项目论证，严格投资管理，提高投资收益水平，实现国有资产保值增值。</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应遵守有关法律、法规、规章、规范性文件和政策，严禁不符合国家产业政策的投资项目；严禁威胁或损害国家利益和国家安全的境外投资项目；严禁进行未按规定履行完成必要审批程序的投资项目；严格控制不符合企业发展战略规划的投资项目；严格控制高风险行业和领域的非主业投资项目。</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公司可以向其他企业投资，但是，除法律另有规定外，不得成为对所投资企业的债务承担连带责任的股东。</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r>
        <w:rPr>
          <w:rFonts w:hint="eastAsia" w:eastAsia="仿宋"/>
          <w:b/>
          <w:bCs/>
          <w:color w:val="000000" w:themeColor="text1"/>
          <w:sz w:val="24"/>
          <w14:textFill>
            <w14:solidFill>
              <w14:schemeClr w14:val="tx1"/>
            </w14:solidFill>
          </w14:textFill>
        </w:rPr>
        <w:t>分支机构的设立和责任承担</w:t>
      </w:r>
      <w:r>
        <w:rPr>
          <w:rFonts w:eastAsia="仿宋"/>
          <w:b/>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公司可以设立分支机构。分支机构不具有法人资格，其民事责任由公司承担。</w:t>
      </w:r>
      <w:r>
        <w:rPr>
          <w:rFonts w:eastAsia="仿宋"/>
          <w:color w:val="000000" w:themeColor="text1"/>
          <w:sz w:val="24"/>
          <w14:textFill>
            <w14:solidFill>
              <w14:schemeClr w14:val="tx1"/>
            </w14:solidFill>
          </w14:textFill>
        </w:rPr>
        <w:br w:type="textWrapping"/>
      </w:r>
    </w:p>
    <w:p>
      <w:pPr>
        <w:pStyle w:val="2"/>
        <w:numPr>
          <w:ilvl w:val="0"/>
          <w:numId w:val="1"/>
        </w:numPr>
        <w:spacing w:before="249" w:beforeLines="80" w:after="249" w:afterLines="80" w:line="440" w:lineRule="exact"/>
        <w:ind w:left="0" w:firstLine="0"/>
        <w:jc w:val="center"/>
        <w:rPr>
          <w:rFonts w:eastAsia="仿宋"/>
          <w:color w:val="000000" w:themeColor="text1"/>
          <w:sz w:val="24"/>
          <w:szCs w:val="24"/>
          <w14:textFill>
            <w14:solidFill>
              <w14:schemeClr w14:val="tx1"/>
            </w14:solidFill>
          </w14:textFill>
        </w:rPr>
      </w:pPr>
      <w:bookmarkStart w:id="9" w:name="_Toc130021873"/>
      <w:bookmarkStart w:id="10" w:name="_Toc48290096"/>
      <w:r>
        <w:rPr>
          <w:rFonts w:eastAsia="仿宋"/>
          <w:color w:val="000000" w:themeColor="text1"/>
          <w:sz w:val="24"/>
          <w:szCs w:val="24"/>
          <w14:textFill>
            <w14:solidFill>
              <w14:schemeClr w14:val="tx1"/>
            </w14:solidFill>
          </w14:textFill>
        </w:rPr>
        <w:t>名称、住所和经营期限</w:t>
      </w:r>
      <w:bookmarkEnd w:id="9"/>
      <w:bookmarkEnd w:id="10"/>
    </w:p>
    <w:p>
      <w:pPr>
        <w:numPr>
          <w:ilvl w:val="0"/>
          <w:numId w:val="2"/>
        </w:numPr>
        <w:tabs>
          <w:tab w:val="left" w:pos="1620"/>
        </w:tabs>
        <w:spacing w:before="249" w:beforeLines="80" w:after="249" w:afterLines="80" w:line="440" w:lineRule="exact"/>
        <w:ind w:left="0" w:firstLine="482" w:firstLineChars="200"/>
        <w:rPr>
          <w:rFonts w:eastAsia="仿宋"/>
          <w:b/>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[公司名称]</w:t>
      </w:r>
      <w:r>
        <w:rPr>
          <w:rFonts w:eastAsia="仿宋"/>
          <w:b/>
          <w:bCs/>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中文全称：【中文全称】</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中文简称：【中文简称】</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英文全称：【英文全称】</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英文简称：【英文简称】</w:t>
      </w:r>
      <w:r>
        <w:rPr>
          <w:rFonts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【说明：公司可根据实际情况选择适用】</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[公司住所]</w:t>
      </w:r>
      <w:r>
        <w:rPr>
          <w:rFonts w:eastAsia="仿宋"/>
          <w:b/>
          <w:bCs/>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公司住所：【公司住所地址全称】</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[公司经营期限]</w:t>
      </w:r>
      <w:r>
        <w:rPr>
          <w:rFonts w:eastAsia="仿宋"/>
          <w:b/>
          <w:bCs/>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公司经营期限：永久存续。</w:t>
      </w:r>
      <w:r>
        <w:rPr>
          <w:rFonts w:eastAsia="仿宋"/>
          <w:b/>
          <w:bCs/>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【说明：若经营期限非永久存续，可选择适用：公司经营期限至____年___月___日止。股东会可通过修改本章程延长公司的经营期限。依照前</w:t>
      </w:r>
      <w:r>
        <w:rPr>
          <w:rFonts w:hint="eastAsia" w:eastAsia="仿宋"/>
          <w:b/>
          <w:color w:val="000000" w:themeColor="text1"/>
          <w:sz w:val="24"/>
          <w14:textFill>
            <w14:solidFill>
              <w14:schemeClr w14:val="tx1"/>
            </w14:solidFill>
          </w14:textFill>
        </w:rPr>
        <w:t>述</w:t>
      </w:r>
      <w:r>
        <w:rPr>
          <w:rFonts w:eastAsia="仿宋"/>
          <w:b/>
          <w:color w:val="000000" w:themeColor="text1"/>
          <w:sz w:val="24"/>
          <w14:textFill>
            <w14:solidFill>
              <w14:schemeClr w14:val="tx1"/>
            </w14:solidFill>
          </w14:textFill>
        </w:rPr>
        <w:t>规定修改本章程，须经持有三分之二以上表决权的股东通过】</w:t>
      </w:r>
      <w:r>
        <w:rPr>
          <w:rFonts w:eastAsia="仿宋"/>
          <w:b/>
          <w:bCs/>
          <w:color w:val="000000" w:themeColor="text1"/>
          <w:sz w:val="24"/>
          <w14:textFill>
            <w14:solidFill>
              <w14:schemeClr w14:val="tx1"/>
            </w14:solidFill>
          </w14:textFill>
        </w:rPr>
        <w:br w:type="textWrapping"/>
      </w:r>
    </w:p>
    <w:p>
      <w:pPr>
        <w:pStyle w:val="2"/>
        <w:numPr>
          <w:ilvl w:val="0"/>
          <w:numId w:val="1"/>
        </w:numPr>
        <w:spacing w:before="249" w:beforeLines="80" w:after="249" w:afterLines="80" w:line="440" w:lineRule="exact"/>
        <w:ind w:left="0" w:firstLine="0"/>
        <w:jc w:val="center"/>
        <w:rPr>
          <w:rFonts w:eastAsia="仿宋"/>
          <w:color w:val="000000" w:themeColor="text1"/>
          <w:sz w:val="24"/>
          <w:szCs w:val="24"/>
          <w14:textFill>
            <w14:solidFill>
              <w14:schemeClr w14:val="tx1"/>
            </w14:solidFill>
          </w14:textFill>
        </w:rPr>
      </w:pPr>
      <w:bookmarkStart w:id="11" w:name="_Toc130021874"/>
      <w:bookmarkStart w:id="12" w:name="_Toc48290097"/>
      <w:r>
        <w:rPr>
          <w:rFonts w:eastAsia="仿宋"/>
          <w:color w:val="000000" w:themeColor="text1"/>
          <w:sz w:val="24"/>
          <w:szCs w:val="24"/>
          <w14:textFill>
            <w14:solidFill>
              <w14:schemeClr w14:val="tx1"/>
            </w14:solidFill>
          </w14:textFill>
        </w:rPr>
        <w:t>宗旨和经营范围</w:t>
      </w:r>
      <w:bookmarkEnd w:id="11"/>
      <w:bookmarkEnd w:id="12"/>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[公司的宗旨]</w:t>
      </w:r>
      <w:r>
        <w:rPr>
          <w:rStyle w:val="32"/>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公司的宗旨：【宗旨内容】</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[公司的经营范围]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公司的经营范围：【经营范围内容】</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上述经营范围以市场监督管理机关核定并记载于企业法人营业执照上的为准。</w:t>
      </w:r>
      <w:bookmarkStart w:id="13" w:name="OLE_LINK8"/>
      <w:bookmarkStart w:id="14" w:name="OLE_LINK7"/>
      <w:r>
        <w:rPr>
          <w:rFonts w:eastAsia="仿宋"/>
          <w:b/>
          <w:bCs/>
          <w:color w:val="000000" w:themeColor="text1"/>
          <w:sz w:val="24"/>
          <w14:textFill>
            <w14:solidFill>
              <w14:schemeClr w14:val="tx1"/>
            </w14:solidFill>
          </w14:textFill>
        </w:rPr>
        <w:br w:type="textWrapping"/>
      </w:r>
      <w:bookmarkEnd w:id="13"/>
      <w:bookmarkEnd w:id="14"/>
      <w:r>
        <w:rPr>
          <w:rFonts w:eastAsia="仿宋"/>
          <w:color w:val="000000" w:themeColor="text1"/>
          <w:sz w:val="24"/>
          <w14:textFill>
            <w14:solidFill>
              <w14:schemeClr w14:val="tx1"/>
            </w14:solidFill>
          </w14:textFill>
        </w:rPr>
        <w:t xml:space="preserve">    </w:t>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bookmarkStart w:id="15" w:name="_Hlk47535607"/>
      <w:r>
        <w:rPr>
          <w:rFonts w:eastAsia="仿宋"/>
          <w:b/>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经营范围的变更程序</w:t>
      </w:r>
      <w:bookmarkEnd w:id="15"/>
      <w:bookmarkStart w:id="16" w:name="_Hlk47535720"/>
      <w:r>
        <w:rPr>
          <w:rFonts w:eastAsia="仿宋"/>
          <w:b/>
          <w:color w:val="000000" w:themeColor="text1"/>
          <w:sz w:val="24"/>
          <w14:textFill>
            <w14:solidFill>
              <w14:schemeClr w14:val="tx1"/>
            </w14:solidFill>
          </w14:textFill>
        </w:rPr>
        <w:t>]</w:t>
      </w:r>
      <w:bookmarkEnd w:id="16"/>
      <w:r>
        <w:rPr>
          <w:rFonts w:eastAsia="仿宋"/>
          <w:b/>
          <w:bCs/>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经股东会同意，上述经营范围可以变更，且应当及时向市国资委、市场监督管理机关等相关机构办理相应的变更登记。经营范围中属于法律、行政法规规定须经批准的项目，应当依法经过批准。</w:t>
      </w:r>
      <w:r>
        <w:rPr>
          <w:rFonts w:eastAsia="仿宋"/>
          <w:color w:val="000000" w:themeColor="text1"/>
          <w:sz w:val="24"/>
          <w14:textFill>
            <w14:solidFill>
              <w14:schemeClr w14:val="tx1"/>
            </w14:solidFill>
          </w14:textFill>
        </w:rPr>
        <w:br w:type="textWrapping"/>
      </w:r>
    </w:p>
    <w:p>
      <w:pPr>
        <w:pStyle w:val="2"/>
        <w:numPr>
          <w:ilvl w:val="0"/>
          <w:numId w:val="1"/>
        </w:numPr>
        <w:spacing w:before="249" w:beforeLines="80" w:after="249" w:afterLines="80" w:line="440" w:lineRule="exact"/>
        <w:ind w:left="0" w:firstLine="0"/>
        <w:jc w:val="center"/>
        <w:rPr>
          <w:rFonts w:eastAsia="仿宋"/>
          <w:color w:val="000000" w:themeColor="text1"/>
          <w:sz w:val="24"/>
          <w:szCs w:val="24"/>
          <w14:textFill>
            <w14:solidFill>
              <w14:schemeClr w14:val="tx1"/>
            </w14:solidFill>
          </w14:textFill>
        </w:rPr>
      </w:pPr>
      <w:bookmarkStart w:id="17" w:name="_Toc130021875"/>
      <w:bookmarkStart w:id="18" w:name="_Toc48290098"/>
      <w:r>
        <w:rPr>
          <w:rFonts w:eastAsia="仿宋"/>
          <w:color w:val="000000" w:themeColor="text1"/>
          <w:sz w:val="24"/>
          <w:szCs w:val="24"/>
          <w14:textFill>
            <w14:solidFill>
              <w14:schemeClr w14:val="tx1"/>
            </w14:solidFill>
          </w14:textFill>
        </w:rPr>
        <w:t>公司的注册资本、出资方式和出资时间</w:t>
      </w:r>
      <w:bookmarkEnd w:id="17"/>
      <w:bookmarkEnd w:id="18"/>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[注册资本及出资方式]</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公司的注册资本为人民币【注册资本数额】元，以【出资方式】出资。</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39"/>
        <w:rPr>
          <w:rFonts w:eastAsia="仿宋"/>
          <w:b/>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[注册资本的缴纳]</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公司注册资本已</w:t>
      </w:r>
      <w:r>
        <w:rPr>
          <w:rFonts w:hAnsi="仿宋" w:eastAsia="仿宋"/>
          <w:color w:val="000000" w:themeColor="text1"/>
          <w:sz w:val="24"/>
          <w14:textFill>
            <w14:solidFill>
              <w14:schemeClr w14:val="tx1"/>
            </w14:solidFill>
          </w14:textFill>
        </w:rPr>
        <w:t>于   年   月   日</w:t>
      </w:r>
      <w:r>
        <w:rPr>
          <w:rFonts w:hint="eastAsia" w:hAnsi="仿宋" w:eastAsia="仿宋"/>
          <w:color w:val="000000" w:themeColor="text1"/>
          <w:sz w:val="24"/>
          <w14:textFill>
            <w14:solidFill>
              <w14:schemeClr w14:val="tx1"/>
            </w14:solidFill>
          </w14:textFill>
        </w:rPr>
        <w:t>前</w:t>
      </w:r>
      <w:r>
        <w:rPr>
          <w:rFonts w:eastAsia="仿宋"/>
          <w:color w:val="000000" w:themeColor="text1"/>
          <w:sz w:val="24"/>
          <w14:textFill>
            <w14:solidFill>
              <w14:schemeClr w14:val="tx1"/>
            </w14:solidFill>
          </w14:textFill>
        </w:rPr>
        <w:t>全部缴足。</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【说明：若注册资本为</w:t>
      </w:r>
      <w:bookmarkStart w:id="19" w:name="OLE_LINK14"/>
      <w:bookmarkStart w:id="20" w:name="OLE_LINK13"/>
      <w:r>
        <w:rPr>
          <w:rFonts w:eastAsia="仿宋"/>
          <w:b/>
          <w:color w:val="000000" w:themeColor="text1"/>
          <w:sz w:val="24"/>
          <w14:textFill>
            <w14:solidFill>
              <w14:schemeClr w14:val="tx1"/>
            </w14:solidFill>
          </w14:textFill>
        </w:rPr>
        <w:t>认缴制</w:t>
      </w:r>
      <w:bookmarkEnd w:id="19"/>
      <w:bookmarkEnd w:id="20"/>
      <w:r>
        <w:rPr>
          <w:rFonts w:eastAsia="仿宋"/>
          <w:b/>
          <w:color w:val="000000" w:themeColor="text1"/>
          <w:sz w:val="24"/>
          <w14:textFill>
            <w14:solidFill>
              <w14:schemeClr w14:val="tx1"/>
            </w14:solidFill>
          </w14:textFill>
        </w:rPr>
        <w:t>，可作如下修改：</w:t>
      </w:r>
      <w:r>
        <w:rPr>
          <w:rFonts w:hint="eastAsia" w:eastAsia="仿宋"/>
          <w:b/>
          <w:color w:val="000000" w:themeColor="text1"/>
          <w:sz w:val="24"/>
          <w14:textFill>
            <w14:solidFill>
              <w14:schemeClr w14:val="tx1"/>
            </w14:solidFill>
          </w14:textFill>
        </w:rPr>
        <w:t>股东应当根据本章程第十六条的规定，及时、足额地缴纳其认缴的出资额</w:t>
      </w:r>
      <w:r>
        <w:rPr>
          <w:rFonts w:eastAsia="仿宋"/>
          <w:b/>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p>
    <w:p>
      <w:pPr>
        <w:numPr>
          <w:ilvl w:val="0"/>
          <w:numId w:val="2"/>
        </w:numPr>
        <w:tabs>
          <w:tab w:val="left" w:pos="567"/>
          <w:tab w:val="left" w:pos="1620"/>
        </w:tabs>
        <w:spacing w:before="249" w:beforeLines="80" w:after="249" w:afterLines="80" w:line="440" w:lineRule="exact"/>
        <w:ind w:left="0" w:firstLine="426" w:firstLineChars="17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 xml:space="preserve">[增资和减资]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公司增加或者减少注册资本，必须由股东会作出书面决议并按照国资监管规定履行必要的增资或减资程序。</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减少注册资本，必须编制资产负债表及财产清单。同时，公司应当自股东会作出书面减资决议之日起十日内通知债权人，并于三十日内在报纸上公告。公司减少后的注册资本不得低于公司所属类型对应的法定注册资本最低要求。</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公司变更注册资本应修订本章程，并依法向</w:t>
      </w:r>
      <w:r>
        <w:rPr>
          <w:rFonts w:hint="eastAsia" w:eastAsia="仿宋"/>
          <w:color w:val="000000" w:themeColor="text1"/>
          <w:sz w:val="24"/>
          <w14:textFill>
            <w14:solidFill>
              <w14:schemeClr w14:val="tx1"/>
            </w14:solidFill>
          </w14:textFill>
        </w:rPr>
        <w:t>市国资委</w:t>
      </w:r>
      <w:r>
        <w:rPr>
          <w:rFonts w:eastAsia="仿宋"/>
          <w:color w:val="000000" w:themeColor="text1"/>
          <w:sz w:val="24"/>
          <w14:textFill>
            <w14:solidFill>
              <w14:schemeClr w14:val="tx1"/>
            </w14:solidFill>
          </w14:textFill>
        </w:rPr>
        <w:t>、市场监督管理机关等相关机构办理相应的变更登记。</w:t>
      </w:r>
      <w:r>
        <w:rPr>
          <w:rFonts w:eastAsia="仿宋"/>
          <w:color w:val="000000" w:themeColor="text1"/>
          <w:sz w:val="24"/>
          <w14:textFill>
            <w14:solidFill>
              <w14:schemeClr w14:val="tx1"/>
            </w14:solidFill>
          </w14:textFill>
        </w:rPr>
        <w:br w:type="textWrapping"/>
      </w:r>
    </w:p>
    <w:p>
      <w:pPr>
        <w:pStyle w:val="2"/>
        <w:numPr>
          <w:ilvl w:val="0"/>
          <w:numId w:val="1"/>
        </w:numPr>
        <w:spacing w:before="249" w:beforeLines="80" w:after="249" w:afterLines="80" w:line="440" w:lineRule="exact"/>
        <w:ind w:left="0" w:firstLine="0"/>
        <w:jc w:val="center"/>
        <w:rPr>
          <w:rFonts w:eastAsia="仿宋"/>
          <w:color w:val="000000" w:themeColor="text1"/>
          <w:sz w:val="24"/>
          <w:szCs w:val="24"/>
          <w14:textFill>
            <w14:solidFill>
              <w14:schemeClr w14:val="tx1"/>
            </w14:solidFill>
          </w14:textFill>
        </w:rPr>
      </w:pPr>
      <w:bookmarkStart w:id="21" w:name="_Toc48290099"/>
      <w:r>
        <w:rPr>
          <w:rFonts w:eastAsia="仿宋"/>
          <w:color w:val="000000" w:themeColor="text1"/>
          <w:sz w:val="24"/>
          <w:szCs w:val="24"/>
          <w14:textFill>
            <w14:solidFill>
              <w14:schemeClr w14:val="tx1"/>
            </w14:solidFill>
          </w14:textFill>
        </w:rPr>
        <w:t>股东及股权转让</w:t>
      </w:r>
      <w:bookmarkEnd w:id="21"/>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[股东名称</w:t>
      </w:r>
      <w:r>
        <w:rPr>
          <w:rFonts w:hint="eastAsia" w:eastAsia="仿宋"/>
          <w:b/>
          <w:bCs/>
          <w:color w:val="000000" w:themeColor="text1"/>
          <w:sz w:val="24"/>
          <w14:textFill>
            <w14:solidFill>
              <w14:schemeClr w14:val="tx1"/>
            </w14:solidFill>
          </w14:textFill>
        </w:rPr>
        <w:t>及出资情况</w:t>
      </w:r>
      <w:r>
        <w:rPr>
          <w:rFonts w:eastAsia="仿宋"/>
          <w:b/>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公司各股东的名称、出资方式</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出资时间</w:t>
      </w:r>
      <w:r>
        <w:rPr>
          <w:rFonts w:hint="eastAsia" w:eastAsia="仿宋"/>
          <w:color w:val="000000" w:themeColor="text1"/>
          <w:sz w:val="24"/>
          <w14:textFill>
            <w14:solidFill>
              <w14:schemeClr w14:val="tx1"/>
            </w14:solidFill>
          </w14:textFill>
        </w:rPr>
        <w:t>、出资金额及出资比例</w:t>
      </w:r>
      <w:r>
        <w:rPr>
          <w:rFonts w:eastAsia="仿宋"/>
          <w:color w:val="000000" w:themeColor="text1"/>
          <w:sz w:val="24"/>
          <w14:textFill>
            <w14:solidFill>
              <w14:schemeClr w14:val="tx1"/>
            </w14:solidFill>
          </w14:textFill>
        </w:rPr>
        <w:t xml:space="preserve">如下: </w:t>
      </w:r>
    </w:p>
    <w:tbl>
      <w:tblPr>
        <w:tblStyle w:val="2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675"/>
        <w:gridCol w:w="708"/>
        <w:gridCol w:w="1134"/>
        <w:gridCol w:w="1134"/>
        <w:gridCol w:w="1134"/>
        <w:gridCol w:w="99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blHeader/>
        </w:trPr>
        <w:tc>
          <w:tcPr>
            <w:tcW w:w="581" w:type="dxa"/>
            <w:vMerge w:val="restart"/>
            <w:vAlign w:val="center"/>
          </w:tcPr>
          <w:p>
            <w:pPr>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序号</w:t>
            </w:r>
          </w:p>
        </w:tc>
        <w:tc>
          <w:tcPr>
            <w:tcW w:w="2675" w:type="dxa"/>
            <w:vMerge w:val="restart"/>
            <w:vAlign w:val="center"/>
          </w:tcPr>
          <w:p>
            <w:pPr>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股东名称</w:t>
            </w:r>
          </w:p>
        </w:tc>
        <w:tc>
          <w:tcPr>
            <w:tcW w:w="708" w:type="dxa"/>
            <w:vMerge w:val="restart"/>
            <w:vAlign w:val="center"/>
          </w:tcPr>
          <w:p>
            <w:pPr>
              <w:jc w:val="center"/>
              <w:rPr>
                <w:rFonts w:ascii="DengXian" w:hAnsi="DengXian" w:eastAsia="仿宋"/>
                <w:b/>
                <w:color w:val="000000" w:themeColor="text1"/>
                <w:sz w:val="18"/>
                <w:szCs w:val="18"/>
                <w14:textFill>
                  <w14:solidFill>
                    <w14:schemeClr w14:val="tx1"/>
                  </w14:solidFill>
                </w14:textFill>
              </w:rPr>
            </w:pPr>
            <w:r>
              <w:rPr>
                <w:rFonts w:hint="eastAsia" w:ascii="DengXian" w:hAnsi="DengXian" w:eastAsia="仿宋"/>
                <w:b/>
                <w:color w:val="000000" w:themeColor="text1"/>
                <w:sz w:val="18"/>
                <w:szCs w:val="18"/>
                <w14:textFill>
                  <w14:solidFill>
                    <w14:schemeClr w14:val="tx1"/>
                  </w14:solidFill>
                </w14:textFill>
              </w:rPr>
              <w:t>出资方式</w:t>
            </w:r>
          </w:p>
        </w:tc>
        <w:tc>
          <w:tcPr>
            <w:tcW w:w="3402" w:type="dxa"/>
            <w:gridSpan w:val="3"/>
            <w:vAlign w:val="center"/>
          </w:tcPr>
          <w:p>
            <w:pPr>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出资金额</w:t>
            </w:r>
          </w:p>
        </w:tc>
        <w:tc>
          <w:tcPr>
            <w:tcW w:w="993" w:type="dxa"/>
            <w:vMerge w:val="restart"/>
            <w:vAlign w:val="center"/>
          </w:tcPr>
          <w:p>
            <w:pPr>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合计</w:t>
            </w:r>
          </w:p>
          <w:p>
            <w:pPr>
              <w:jc w:val="center"/>
              <w:rPr>
                <w:rFonts w:eastAsia="仿宋"/>
                <w:b/>
                <w:color w:val="000000" w:themeColor="text1"/>
                <w:sz w:val="18"/>
                <w:szCs w:val="18"/>
                <w14:textFill>
                  <w14:solidFill>
                    <w14:schemeClr w14:val="tx1"/>
                  </w14:solidFill>
                </w14:textFill>
              </w:rPr>
            </w:pPr>
            <w:r>
              <w:rPr>
                <w:rFonts w:hint="eastAsia" w:eastAsia="仿宋"/>
                <w:b/>
                <w:color w:val="000000" w:themeColor="text1"/>
                <w:sz w:val="18"/>
                <w:szCs w:val="18"/>
                <w14:textFill>
                  <w14:solidFill>
                    <w14:schemeClr w14:val="tx1"/>
                  </w14:solidFill>
                </w14:textFill>
              </w:rPr>
              <w:t>认缴</w:t>
            </w:r>
            <w:r>
              <w:rPr>
                <w:rFonts w:eastAsia="仿宋"/>
                <w:b/>
                <w:color w:val="000000" w:themeColor="text1"/>
                <w:sz w:val="18"/>
                <w:szCs w:val="18"/>
                <w14:textFill>
                  <w14:solidFill>
                    <w14:schemeClr w14:val="tx1"/>
                  </w14:solidFill>
                </w14:textFill>
              </w:rPr>
              <w:t>出资</w:t>
            </w:r>
          </w:p>
        </w:tc>
        <w:tc>
          <w:tcPr>
            <w:tcW w:w="708" w:type="dxa"/>
            <w:vMerge w:val="restart"/>
            <w:vAlign w:val="center"/>
          </w:tcPr>
          <w:p>
            <w:pPr>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81" w:type="dxa"/>
            <w:vMerge w:val="continue"/>
            <w:vAlign w:val="center"/>
          </w:tcPr>
          <w:p>
            <w:pPr>
              <w:jc w:val="center"/>
              <w:rPr>
                <w:rFonts w:eastAsia="仿宋"/>
                <w:b/>
                <w:color w:val="000000" w:themeColor="text1"/>
                <w:sz w:val="18"/>
                <w:szCs w:val="18"/>
                <w14:textFill>
                  <w14:solidFill>
                    <w14:schemeClr w14:val="tx1"/>
                  </w14:solidFill>
                </w14:textFill>
              </w:rPr>
            </w:pPr>
          </w:p>
        </w:tc>
        <w:tc>
          <w:tcPr>
            <w:tcW w:w="2675" w:type="dxa"/>
            <w:vMerge w:val="continue"/>
            <w:vAlign w:val="center"/>
          </w:tcPr>
          <w:p>
            <w:pPr>
              <w:jc w:val="center"/>
              <w:rPr>
                <w:rFonts w:eastAsia="仿宋"/>
                <w:b/>
                <w:color w:val="000000" w:themeColor="text1"/>
                <w:sz w:val="18"/>
                <w:szCs w:val="18"/>
                <w14:textFill>
                  <w14:solidFill>
                    <w14:schemeClr w14:val="tx1"/>
                  </w14:solidFill>
                </w14:textFill>
              </w:rPr>
            </w:pPr>
          </w:p>
        </w:tc>
        <w:tc>
          <w:tcPr>
            <w:tcW w:w="708" w:type="dxa"/>
            <w:vMerge w:val="continue"/>
          </w:tcPr>
          <w:p>
            <w:pPr>
              <w:jc w:val="center"/>
              <w:rPr>
                <w:rFonts w:ascii="DengXian" w:hAnsi="DengXian" w:eastAsia="仿宋"/>
                <w:b/>
                <w:color w:val="000000" w:themeColor="text1"/>
                <w:sz w:val="18"/>
                <w:szCs w:val="18"/>
                <w14:textFill>
                  <w14:solidFill>
                    <w14:schemeClr w14:val="tx1"/>
                  </w14:solidFill>
                </w14:textFill>
              </w:rPr>
            </w:pPr>
          </w:p>
        </w:tc>
        <w:tc>
          <w:tcPr>
            <w:tcW w:w="1134" w:type="dxa"/>
            <w:vAlign w:val="center"/>
          </w:tcPr>
          <w:p>
            <w:pPr>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第一期认缴</w:t>
            </w:r>
          </w:p>
        </w:tc>
        <w:tc>
          <w:tcPr>
            <w:tcW w:w="1134" w:type="dxa"/>
            <w:vAlign w:val="center"/>
          </w:tcPr>
          <w:p>
            <w:pPr>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第二期认缴</w:t>
            </w:r>
          </w:p>
        </w:tc>
        <w:tc>
          <w:tcPr>
            <w:tcW w:w="1134" w:type="dxa"/>
            <w:vAlign w:val="center"/>
          </w:tcPr>
          <w:p>
            <w:pPr>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第三期认缴</w:t>
            </w:r>
          </w:p>
        </w:tc>
        <w:tc>
          <w:tcPr>
            <w:tcW w:w="993" w:type="dxa"/>
            <w:vMerge w:val="continue"/>
            <w:vAlign w:val="center"/>
          </w:tcPr>
          <w:p>
            <w:pPr>
              <w:jc w:val="center"/>
              <w:rPr>
                <w:rFonts w:eastAsia="仿宋"/>
                <w:b/>
                <w:color w:val="000000" w:themeColor="text1"/>
                <w:sz w:val="18"/>
                <w:szCs w:val="18"/>
                <w14:textFill>
                  <w14:solidFill>
                    <w14:schemeClr w14:val="tx1"/>
                  </w14:solidFill>
                </w14:textFill>
              </w:rPr>
            </w:pPr>
          </w:p>
        </w:tc>
        <w:tc>
          <w:tcPr>
            <w:tcW w:w="708" w:type="dxa"/>
            <w:vMerge w:val="continue"/>
            <w:vAlign w:val="center"/>
          </w:tcPr>
          <w:p>
            <w:pPr>
              <w:jc w:val="center"/>
              <w:rPr>
                <w:rFonts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581" w:type="dxa"/>
            <w:vMerge w:val="restart"/>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2675" w:type="dxa"/>
            <w:vMerge w:val="restart"/>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【股东一名称】</w:t>
            </w:r>
          </w:p>
        </w:tc>
        <w:tc>
          <w:tcPr>
            <w:tcW w:w="708" w:type="dxa"/>
            <w:vMerge w:val="restart"/>
            <w:vAlign w:val="center"/>
          </w:tcPr>
          <w:p>
            <w:pPr>
              <w:jc w:val="center"/>
              <w:rPr>
                <w:rFonts w:ascii="DengXian" w:hAnsi="DengXian" w:eastAsia="仿宋"/>
                <w:color w:val="000000" w:themeColor="text1"/>
                <w:sz w:val="18"/>
                <w:szCs w:val="18"/>
                <w14:textFill>
                  <w14:solidFill>
                    <w14:schemeClr w14:val="tx1"/>
                  </w14:solidFill>
                </w14:textFill>
              </w:rPr>
            </w:pPr>
            <w:r>
              <w:rPr>
                <w:rFonts w:hint="eastAsia" w:ascii="DengXian" w:hAnsi="DengXian" w:eastAsia="仿宋"/>
                <w:color w:val="000000" w:themeColor="text1"/>
                <w:sz w:val="18"/>
                <w:szCs w:val="18"/>
                <w14:textFill>
                  <w14:solidFill>
                    <w14:schemeClr w14:val="tx1"/>
                  </w14:solidFill>
                </w14:textFill>
              </w:rPr>
              <w:t>货币</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XX元</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XX元</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XX元</w:t>
            </w:r>
          </w:p>
        </w:tc>
        <w:tc>
          <w:tcPr>
            <w:tcW w:w="993" w:type="dxa"/>
            <w:vMerge w:val="restart"/>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XX元</w:t>
            </w:r>
          </w:p>
        </w:tc>
        <w:tc>
          <w:tcPr>
            <w:tcW w:w="708" w:type="dxa"/>
            <w:vMerge w:val="restart"/>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vMerge w:val="continue"/>
            <w:vAlign w:val="center"/>
          </w:tcPr>
          <w:p>
            <w:pPr>
              <w:jc w:val="center"/>
              <w:rPr>
                <w:rFonts w:eastAsia="仿宋"/>
                <w:color w:val="000000" w:themeColor="text1"/>
                <w:sz w:val="18"/>
                <w:szCs w:val="18"/>
                <w14:textFill>
                  <w14:solidFill>
                    <w14:schemeClr w14:val="tx1"/>
                  </w14:solidFill>
                </w14:textFill>
              </w:rPr>
            </w:pPr>
          </w:p>
        </w:tc>
        <w:tc>
          <w:tcPr>
            <w:tcW w:w="2675" w:type="dxa"/>
            <w:vMerge w:val="continue"/>
            <w:vAlign w:val="center"/>
          </w:tcPr>
          <w:p>
            <w:pPr>
              <w:jc w:val="center"/>
              <w:rPr>
                <w:rFonts w:eastAsia="仿宋"/>
                <w:color w:val="000000" w:themeColor="text1"/>
                <w:sz w:val="18"/>
                <w:szCs w:val="18"/>
                <w14:textFill>
                  <w14:solidFill>
                    <w14:schemeClr w14:val="tx1"/>
                  </w14:solidFill>
                </w14:textFill>
              </w:rPr>
            </w:pPr>
          </w:p>
        </w:tc>
        <w:tc>
          <w:tcPr>
            <w:tcW w:w="708" w:type="dxa"/>
            <w:vMerge w:val="continue"/>
            <w:vAlign w:val="center"/>
          </w:tcPr>
          <w:p>
            <w:pPr>
              <w:jc w:val="center"/>
              <w:rPr>
                <w:rFonts w:ascii="DengXian" w:hAnsi="DengXian" w:eastAsia="仿宋"/>
                <w:color w:val="000000" w:themeColor="text1"/>
                <w:sz w:val="18"/>
                <w:szCs w:val="18"/>
                <w14:textFill>
                  <w14:solidFill>
                    <w14:schemeClr w14:val="tx1"/>
                  </w14:solidFill>
                </w14:textFill>
              </w:rPr>
            </w:pP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X年X月X日前</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X年X月X日前</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X年X月X日前</w:t>
            </w:r>
          </w:p>
        </w:tc>
        <w:tc>
          <w:tcPr>
            <w:tcW w:w="993" w:type="dxa"/>
            <w:vMerge w:val="continue"/>
            <w:vAlign w:val="center"/>
          </w:tcPr>
          <w:p>
            <w:pPr>
              <w:jc w:val="center"/>
              <w:rPr>
                <w:rFonts w:eastAsia="仿宋"/>
                <w:color w:val="000000" w:themeColor="text1"/>
                <w:sz w:val="18"/>
                <w:szCs w:val="18"/>
                <w14:textFill>
                  <w14:solidFill>
                    <w14:schemeClr w14:val="tx1"/>
                  </w14:solidFill>
                </w14:textFill>
              </w:rPr>
            </w:pPr>
          </w:p>
        </w:tc>
        <w:tc>
          <w:tcPr>
            <w:tcW w:w="708" w:type="dxa"/>
            <w:vMerge w:val="continue"/>
            <w:vAlign w:val="center"/>
          </w:tcPr>
          <w:p>
            <w:pPr>
              <w:jc w:val="center"/>
              <w:rPr>
                <w:rFonts w:eastAsia="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81" w:type="dxa"/>
            <w:vMerge w:val="restart"/>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2675" w:type="dxa"/>
            <w:vMerge w:val="restart"/>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【股东二名称】</w:t>
            </w:r>
          </w:p>
        </w:tc>
        <w:tc>
          <w:tcPr>
            <w:tcW w:w="708" w:type="dxa"/>
            <w:vMerge w:val="restart"/>
            <w:vAlign w:val="center"/>
          </w:tcPr>
          <w:p>
            <w:pPr>
              <w:jc w:val="center"/>
              <w:rPr>
                <w:rFonts w:ascii="DengXian" w:hAnsi="DengXian" w:eastAsia="仿宋"/>
                <w:color w:val="000000" w:themeColor="text1"/>
                <w:sz w:val="18"/>
                <w:szCs w:val="18"/>
                <w14:textFill>
                  <w14:solidFill>
                    <w14:schemeClr w14:val="tx1"/>
                  </w14:solidFill>
                </w14:textFill>
              </w:rPr>
            </w:pPr>
            <w:r>
              <w:rPr>
                <w:rFonts w:hint="eastAsia" w:ascii="DengXian" w:hAnsi="DengXian" w:eastAsia="仿宋"/>
                <w:color w:val="000000" w:themeColor="text1"/>
                <w:sz w:val="18"/>
                <w:szCs w:val="18"/>
                <w14:textFill>
                  <w14:solidFill>
                    <w14:schemeClr w14:val="tx1"/>
                  </w14:solidFill>
                </w14:textFill>
              </w:rPr>
              <w:t>货币</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XX元</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XX元</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XX元</w:t>
            </w:r>
          </w:p>
        </w:tc>
        <w:tc>
          <w:tcPr>
            <w:tcW w:w="993" w:type="dxa"/>
            <w:vMerge w:val="restart"/>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XX元</w:t>
            </w:r>
          </w:p>
        </w:tc>
        <w:tc>
          <w:tcPr>
            <w:tcW w:w="708" w:type="dxa"/>
            <w:vMerge w:val="restart"/>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vMerge w:val="continue"/>
            <w:vAlign w:val="center"/>
          </w:tcPr>
          <w:p>
            <w:pPr>
              <w:jc w:val="center"/>
              <w:rPr>
                <w:rFonts w:eastAsia="仿宋"/>
                <w:color w:val="000000" w:themeColor="text1"/>
                <w:sz w:val="18"/>
                <w:szCs w:val="18"/>
                <w14:textFill>
                  <w14:solidFill>
                    <w14:schemeClr w14:val="tx1"/>
                  </w14:solidFill>
                </w14:textFill>
              </w:rPr>
            </w:pPr>
          </w:p>
        </w:tc>
        <w:tc>
          <w:tcPr>
            <w:tcW w:w="2675" w:type="dxa"/>
            <w:vMerge w:val="continue"/>
            <w:vAlign w:val="center"/>
          </w:tcPr>
          <w:p>
            <w:pPr>
              <w:jc w:val="center"/>
              <w:rPr>
                <w:rFonts w:eastAsia="仿宋"/>
                <w:color w:val="000000" w:themeColor="text1"/>
                <w:sz w:val="18"/>
                <w:szCs w:val="18"/>
                <w14:textFill>
                  <w14:solidFill>
                    <w14:schemeClr w14:val="tx1"/>
                  </w14:solidFill>
                </w14:textFill>
              </w:rPr>
            </w:pPr>
          </w:p>
        </w:tc>
        <w:tc>
          <w:tcPr>
            <w:tcW w:w="708" w:type="dxa"/>
            <w:vMerge w:val="continue"/>
            <w:vAlign w:val="center"/>
          </w:tcPr>
          <w:p>
            <w:pPr>
              <w:jc w:val="center"/>
              <w:rPr>
                <w:rFonts w:ascii="DengXian" w:hAnsi="DengXian" w:eastAsia="仿宋"/>
                <w:color w:val="000000" w:themeColor="text1"/>
                <w:sz w:val="18"/>
                <w:szCs w:val="18"/>
                <w14:textFill>
                  <w14:solidFill>
                    <w14:schemeClr w14:val="tx1"/>
                  </w14:solidFill>
                </w14:textFill>
              </w:rPr>
            </w:pP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X年X月X日前</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X年X月X日前</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X年X月X日前</w:t>
            </w:r>
          </w:p>
        </w:tc>
        <w:tc>
          <w:tcPr>
            <w:tcW w:w="993" w:type="dxa"/>
            <w:vMerge w:val="continue"/>
            <w:vAlign w:val="center"/>
          </w:tcPr>
          <w:p>
            <w:pPr>
              <w:jc w:val="center"/>
              <w:rPr>
                <w:rFonts w:eastAsia="仿宋"/>
                <w:color w:val="000000" w:themeColor="text1"/>
                <w:sz w:val="18"/>
                <w:szCs w:val="18"/>
                <w14:textFill>
                  <w14:solidFill>
                    <w14:schemeClr w14:val="tx1"/>
                  </w14:solidFill>
                </w14:textFill>
              </w:rPr>
            </w:pPr>
          </w:p>
        </w:tc>
        <w:tc>
          <w:tcPr>
            <w:tcW w:w="708" w:type="dxa"/>
            <w:vMerge w:val="continue"/>
            <w:vAlign w:val="center"/>
          </w:tcPr>
          <w:p>
            <w:pPr>
              <w:jc w:val="center"/>
              <w:rPr>
                <w:rFonts w:eastAsia="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81" w:type="dxa"/>
            <w:vMerge w:val="restart"/>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2675" w:type="dxa"/>
            <w:vMerge w:val="restart"/>
            <w:vAlign w:val="center"/>
          </w:tcPr>
          <w:p>
            <w:pPr>
              <w:keepNext/>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【股东三名称】</w:t>
            </w:r>
          </w:p>
        </w:tc>
        <w:tc>
          <w:tcPr>
            <w:tcW w:w="708" w:type="dxa"/>
            <w:vMerge w:val="restart"/>
            <w:vAlign w:val="center"/>
          </w:tcPr>
          <w:p>
            <w:pPr>
              <w:jc w:val="center"/>
              <w:rPr>
                <w:rFonts w:ascii="DengXian" w:hAnsi="DengXian" w:eastAsia="仿宋"/>
                <w:color w:val="000000" w:themeColor="text1"/>
                <w:sz w:val="18"/>
                <w:szCs w:val="18"/>
                <w14:textFill>
                  <w14:solidFill>
                    <w14:schemeClr w14:val="tx1"/>
                  </w14:solidFill>
                </w14:textFill>
              </w:rPr>
            </w:pPr>
            <w:r>
              <w:rPr>
                <w:rFonts w:hint="eastAsia" w:ascii="DengXian" w:hAnsi="DengXian" w:eastAsia="仿宋"/>
                <w:color w:val="000000" w:themeColor="text1"/>
                <w:sz w:val="18"/>
                <w:szCs w:val="18"/>
                <w14:textFill>
                  <w14:solidFill>
                    <w14:schemeClr w14:val="tx1"/>
                  </w14:solidFill>
                </w14:textFill>
              </w:rPr>
              <w:t>货币</w:t>
            </w:r>
          </w:p>
        </w:tc>
        <w:tc>
          <w:tcPr>
            <w:tcW w:w="1134" w:type="dxa"/>
            <w:vAlign w:val="center"/>
          </w:tcPr>
          <w:p>
            <w:pPr>
              <w:keepNext/>
              <w:widowControl/>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XX元</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XX元</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XX元</w:t>
            </w:r>
          </w:p>
        </w:tc>
        <w:tc>
          <w:tcPr>
            <w:tcW w:w="993" w:type="dxa"/>
            <w:vMerge w:val="restart"/>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XX元</w:t>
            </w:r>
          </w:p>
        </w:tc>
        <w:tc>
          <w:tcPr>
            <w:tcW w:w="708" w:type="dxa"/>
            <w:vMerge w:val="restart"/>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vMerge w:val="continue"/>
            <w:vAlign w:val="center"/>
          </w:tcPr>
          <w:p>
            <w:pPr>
              <w:jc w:val="center"/>
              <w:rPr>
                <w:rFonts w:eastAsia="仿宋"/>
                <w:color w:val="000000" w:themeColor="text1"/>
                <w:sz w:val="18"/>
                <w:szCs w:val="18"/>
                <w14:textFill>
                  <w14:solidFill>
                    <w14:schemeClr w14:val="tx1"/>
                  </w14:solidFill>
                </w14:textFill>
              </w:rPr>
            </w:pPr>
          </w:p>
        </w:tc>
        <w:tc>
          <w:tcPr>
            <w:tcW w:w="2675" w:type="dxa"/>
            <w:vMerge w:val="continue"/>
            <w:vAlign w:val="center"/>
          </w:tcPr>
          <w:p>
            <w:pPr>
              <w:jc w:val="center"/>
              <w:rPr>
                <w:rFonts w:eastAsia="仿宋"/>
                <w:b/>
                <w:color w:val="000000" w:themeColor="text1"/>
                <w:sz w:val="18"/>
                <w:szCs w:val="18"/>
                <w14:textFill>
                  <w14:solidFill>
                    <w14:schemeClr w14:val="tx1"/>
                  </w14:solidFill>
                </w14:textFill>
              </w:rPr>
            </w:pPr>
          </w:p>
        </w:tc>
        <w:tc>
          <w:tcPr>
            <w:tcW w:w="708" w:type="dxa"/>
            <w:vMerge w:val="continue"/>
          </w:tcPr>
          <w:p>
            <w:pPr>
              <w:jc w:val="center"/>
              <w:rPr>
                <w:rFonts w:ascii="DengXian" w:hAnsi="DengXian" w:eastAsia="仿宋"/>
                <w:b/>
                <w:color w:val="000000" w:themeColor="text1"/>
                <w:sz w:val="18"/>
                <w:szCs w:val="18"/>
                <w14:textFill>
                  <w14:solidFill>
                    <w14:schemeClr w14:val="tx1"/>
                  </w14:solidFill>
                </w14:textFill>
              </w:rPr>
            </w:pP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X年X月X日前</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X年X月X日前</w:t>
            </w:r>
          </w:p>
        </w:tc>
        <w:tc>
          <w:tcPr>
            <w:tcW w:w="1134"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X年X月X日前</w:t>
            </w:r>
          </w:p>
        </w:tc>
        <w:tc>
          <w:tcPr>
            <w:tcW w:w="993" w:type="dxa"/>
            <w:vMerge w:val="continue"/>
            <w:vAlign w:val="center"/>
          </w:tcPr>
          <w:p>
            <w:pPr>
              <w:jc w:val="center"/>
              <w:rPr>
                <w:rFonts w:eastAsia="仿宋"/>
                <w:color w:val="000000" w:themeColor="text1"/>
                <w:sz w:val="18"/>
                <w:szCs w:val="18"/>
                <w14:textFill>
                  <w14:solidFill>
                    <w14:schemeClr w14:val="tx1"/>
                  </w14:solidFill>
                </w14:textFill>
              </w:rPr>
            </w:pPr>
          </w:p>
        </w:tc>
        <w:tc>
          <w:tcPr>
            <w:tcW w:w="708" w:type="dxa"/>
            <w:vMerge w:val="continue"/>
            <w:vAlign w:val="center"/>
          </w:tcPr>
          <w:p>
            <w:pPr>
              <w:jc w:val="center"/>
              <w:rPr>
                <w:rFonts w:eastAsia="仿宋"/>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gridSpan w:val="6"/>
          </w:tcPr>
          <w:p>
            <w:pPr>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合计</w:t>
            </w:r>
          </w:p>
        </w:tc>
        <w:tc>
          <w:tcPr>
            <w:tcW w:w="993"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XX元</w:t>
            </w:r>
          </w:p>
        </w:tc>
        <w:tc>
          <w:tcPr>
            <w:tcW w:w="708" w:type="dxa"/>
            <w:vAlign w:val="center"/>
          </w:tcPr>
          <w:p>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X%</w:t>
            </w:r>
          </w:p>
        </w:tc>
      </w:tr>
    </w:tbl>
    <w:p>
      <w:pPr>
        <w:numPr>
          <w:ilvl w:val="0"/>
          <w:numId w:val="2"/>
        </w:numPr>
        <w:tabs>
          <w:tab w:val="left" w:pos="1620"/>
        </w:tabs>
        <w:spacing w:before="249" w:beforeLines="80" w:after="249" w:afterLines="80" w:line="440" w:lineRule="exact"/>
        <w:ind w:left="0" w:firstLine="482" w:firstLineChars="20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[股东出资证明]</w:t>
      </w:r>
      <w:r>
        <w:rPr>
          <w:rFonts w:eastAsia="仿宋"/>
          <w:b/>
          <w:bCs/>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公司成立后，应当向股东签发出资证明书。出资证明书应当载明以下事项：</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（一）公司名称；</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（二）公司成立日期；</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（三）公司注册资本；</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（四）股东的</w:t>
      </w:r>
      <w:r>
        <w:rPr>
          <w:rFonts w:hint="eastAsia" w:eastAsia="仿宋"/>
          <w:color w:val="000000" w:themeColor="text1"/>
          <w:sz w:val="24"/>
          <w14:textFill>
            <w14:solidFill>
              <w14:schemeClr w14:val="tx1"/>
            </w14:solidFill>
          </w14:textFill>
        </w:rPr>
        <w:t>姓名或</w:t>
      </w:r>
      <w:r>
        <w:rPr>
          <w:rFonts w:eastAsia="仿宋"/>
          <w:color w:val="000000" w:themeColor="text1"/>
          <w:sz w:val="24"/>
          <w14:textFill>
            <w14:solidFill>
              <w14:schemeClr w14:val="tx1"/>
            </w14:solidFill>
          </w14:textFill>
        </w:rPr>
        <w:t>名称、缴纳的出资额、出资方式和出资时间；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（五）出资证明书的编号和核发日期。</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出资证明书由公司法定代表人签字并加盖公司印章。</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[股东名册]</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公司置备股东名册，记载以下事项：</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（一）股东的</w:t>
      </w:r>
      <w:r>
        <w:rPr>
          <w:rFonts w:hint="eastAsia" w:eastAsia="仿宋"/>
          <w:color w:val="000000" w:themeColor="text1"/>
          <w:sz w:val="24"/>
          <w14:textFill>
            <w14:solidFill>
              <w14:schemeClr w14:val="tx1"/>
            </w14:solidFill>
          </w14:textFill>
        </w:rPr>
        <w:t>姓名或</w:t>
      </w:r>
      <w:r>
        <w:rPr>
          <w:rFonts w:eastAsia="仿宋"/>
          <w:color w:val="000000" w:themeColor="text1"/>
          <w:sz w:val="24"/>
          <w14:textFill>
            <w14:solidFill>
              <w14:schemeClr w14:val="tx1"/>
            </w14:solidFill>
          </w14:textFill>
        </w:rPr>
        <w:t>名称、住所及联系方式；</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（二）股东的出资额；</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（三）出资证明书编号。</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[股东的权利]</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股东享有如下权利：</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（一）参加或委派股东代表参加股东会并按照其实缴</w:t>
      </w:r>
      <w:r>
        <w:rPr>
          <w:rFonts w:hint="eastAsia" w:eastAsia="仿宋"/>
          <w:color w:val="000000" w:themeColor="text1"/>
          <w:sz w:val="24"/>
          <w14:textFill>
            <w14:solidFill>
              <w14:schemeClr w14:val="tx1"/>
            </w14:solidFill>
          </w14:textFill>
        </w:rPr>
        <w:t>出资比例行使表决权；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（二）对公司的经营行为进行监督，提出建议或质询；</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三）有权了解公司经营状况和财务状况，依法获得公司的经营信息和财务信息，有权查阅、复制公司章程、股东会会议记录、董事会会议决议、监事会会议决议和财务会计报告，可以要求查阅公司会计账簿，公司有义务对股东的上述知情权提供必要的协助；</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四</w:t>
      </w:r>
      <w:r>
        <w:rPr>
          <w:rFonts w:eastAsia="仿宋"/>
          <w:color w:val="000000" w:themeColor="text1"/>
          <w:sz w:val="24"/>
          <w14:textFill>
            <w14:solidFill>
              <w14:schemeClr w14:val="tx1"/>
            </w14:solidFill>
          </w14:textFill>
        </w:rPr>
        <w:t>）对</w:t>
      </w:r>
      <w:r>
        <w:rPr>
          <w:rFonts w:hint="eastAsia" w:eastAsia="仿宋"/>
          <w:color w:val="000000" w:themeColor="text1"/>
          <w:sz w:val="24"/>
          <w14:textFill>
            <w14:solidFill>
              <w14:schemeClr w14:val="tx1"/>
            </w14:solidFill>
          </w14:textFill>
        </w:rPr>
        <w:t>法律、法规、规章、规范性文件</w:t>
      </w:r>
      <w:r>
        <w:rPr>
          <w:rFonts w:eastAsia="仿宋"/>
          <w:color w:val="000000" w:themeColor="text1"/>
          <w:sz w:val="24"/>
          <w14:textFill>
            <w14:solidFill>
              <w14:schemeClr w14:val="tx1"/>
            </w14:solidFill>
          </w14:textFill>
        </w:rPr>
        <w:t>和</w:t>
      </w:r>
      <w:r>
        <w:rPr>
          <w:rFonts w:hint="eastAsia" w:eastAsia="仿宋"/>
          <w:color w:val="000000" w:themeColor="text1"/>
          <w:sz w:val="24"/>
          <w14:textFill>
            <w14:solidFill>
              <w14:schemeClr w14:val="tx1"/>
            </w14:solidFill>
          </w14:textFill>
        </w:rPr>
        <w:t>本</w:t>
      </w:r>
      <w:r>
        <w:rPr>
          <w:rFonts w:eastAsia="仿宋"/>
          <w:color w:val="000000" w:themeColor="text1"/>
          <w:sz w:val="24"/>
          <w14:textFill>
            <w14:solidFill>
              <w14:schemeClr w14:val="tx1"/>
            </w14:solidFill>
          </w14:textFill>
        </w:rPr>
        <w:t>章程规定的公司重大事项，享有知情权；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五</w:t>
      </w:r>
      <w:r>
        <w:rPr>
          <w:rFonts w:eastAsia="仿宋"/>
          <w:color w:val="000000" w:themeColor="text1"/>
          <w:sz w:val="24"/>
          <w14:textFill>
            <w14:solidFill>
              <w14:schemeClr w14:val="tx1"/>
            </w14:solidFill>
          </w14:textFill>
        </w:rPr>
        <w:t>）向股东会提出董事会和监事会成员的推荐人选；</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六</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按照其对公司的实缴出资比例获得红利和其他形式的利益分配；</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（七）按照</w:t>
      </w:r>
      <w:r>
        <w:rPr>
          <w:rFonts w:hint="eastAsia" w:eastAsia="仿宋"/>
          <w:color w:val="000000" w:themeColor="text1"/>
          <w:sz w:val="24"/>
          <w14:textFill>
            <w14:solidFill>
              <w14:schemeClr w14:val="tx1"/>
            </w14:solidFill>
          </w14:textFill>
        </w:rPr>
        <w:t>法律、法规、规章、规范性文件</w:t>
      </w:r>
      <w:r>
        <w:rPr>
          <w:rFonts w:hint="eastAsia" w:eastAsia="仿宋"/>
          <w:color w:val="000000" w:themeColor="text1"/>
          <w:sz w:val="24"/>
          <w14:textFill>
            <w14:solidFill>
              <w14:schemeClr w14:val="tx1"/>
            </w14:solidFill>
          </w14:textFill>
        </w:rPr>
        <w:t>和本章程的规定转让或质押其对公司的股权；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（八）按照</w:t>
      </w:r>
      <w:r>
        <w:rPr>
          <w:rFonts w:hint="eastAsia" w:eastAsia="仿宋"/>
          <w:color w:val="000000" w:themeColor="text1"/>
          <w:sz w:val="24"/>
          <w14:textFill>
            <w14:solidFill>
              <w14:schemeClr w14:val="tx1"/>
            </w14:solidFill>
          </w14:textFill>
        </w:rPr>
        <w:t>法律、法规、规章、规范性文件</w:t>
      </w:r>
      <w:r>
        <w:rPr>
          <w:rFonts w:hint="eastAsia" w:eastAsia="仿宋"/>
          <w:color w:val="000000" w:themeColor="text1"/>
          <w:sz w:val="24"/>
          <w14:textFill>
            <w14:solidFill>
              <w14:schemeClr w14:val="tx1"/>
            </w14:solidFill>
          </w14:textFill>
        </w:rPr>
        <w:t>和本章程的规定优先购买其他股东转让的公司股权；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（九）公司新增资本时，有权优先按照其对公司的实缴出资比例认缴出资；</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（十）公司终止、解散或者清算时，按照其对公司的实缴出资比例参加公司剩余财产的分配；</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（十一）根据《公司法》之相关规定对公司、董事、监事、高级管理人员提起诉讼；</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（十</w:t>
      </w:r>
      <w:r>
        <w:rPr>
          <w:rFonts w:hint="eastAsia" w:eastAsia="仿宋"/>
          <w:color w:val="000000" w:themeColor="text1"/>
          <w:sz w:val="24"/>
          <w14:textFill>
            <w14:solidFill>
              <w14:schemeClr w14:val="tx1"/>
            </w14:solidFill>
          </w14:textFill>
        </w:rPr>
        <w:t>二</w:t>
      </w:r>
      <w:r>
        <w:rPr>
          <w:rFonts w:eastAsia="仿宋"/>
          <w:color w:val="000000" w:themeColor="text1"/>
          <w:sz w:val="24"/>
          <w14:textFill>
            <w14:solidFill>
              <w14:schemeClr w14:val="tx1"/>
            </w14:solidFill>
          </w14:textFill>
        </w:rPr>
        <w:t>）法律</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法规</w:t>
      </w:r>
      <w:r>
        <w:rPr>
          <w:rFonts w:hint="eastAsia" w:eastAsia="仿宋"/>
          <w:color w:val="000000" w:themeColor="text1"/>
          <w:sz w:val="24"/>
          <w14:textFill>
            <w14:solidFill>
              <w14:schemeClr w14:val="tx1"/>
            </w14:solidFill>
          </w14:textFill>
        </w:rPr>
        <w:t>、规章、规范性文件和本</w:t>
      </w:r>
      <w:r>
        <w:rPr>
          <w:rFonts w:eastAsia="仿宋"/>
          <w:color w:val="000000" w:themeColor="text1"/>
          <w:sz w:val="24"/>
          <w14:textFill>
            <w14:solidFill>
              <w14:schemeClr w14:val="tx1"/>
            </w14:solidFill>
          </w14:textFill>
        </w:rPr>
        <w:t>章程</w:t>
      </w:r>
      <w:r>
        <w:rPr>
          <w:rFonts w:hint="eastAsia" w:eastAsia="仿宋"/>
          <w:color w:val="000000" w:themeColor="text1"/>
          <w:sz w:val="24"/>
          <w14:textFill>
            <w14:solidFill>
              <w14:schemeClr w14:val="tx1"/>
            </w14:solidFill>
          </w14:textFill>
        </w:rPr>
        <w:t>规定</w:t>
      </w:r>
      <w:r>
        <w:rPr>
          <w:rFonts w:eastAsia="仿宋"/>
          <w:color w:val="000000" w:themeColor="text1"/>
          <w:sz w:val="24"/>
          <w14:textFill>
            <w14:solidFill>
              <w14:schemeClr w14:val="tx1"/>
            </w14:solidFill>
          </w14:textFill>
        </w:rPr>
        <w:t>的其他权利。</w:t>
      </w:r>
      <w:r>
        <w:rPr>
          <w:rFonts w:eastAsia="仿宋"/>
          <w:b/>
          <w:bCs/>
          <w:color w:val="000000" w:themeColor="text1"/>
          <w:sz w:val="24"/>
          <w14:textFill>
            <w14:solidFill>
              <w14:schemeClr w14:val="tx1"/>
            </w14:solidFill>
          </w14:textFill>
        </w:rPr>
        <w:br w:type="textWrapping"/>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说明</w:t>
      </w:r>
      <w:r>
        <w:rPr>
          <w:rFonts w:eastAsia="仿宋"/>
          <w:b/>
          <w:bCs/>
          <w:color w:val="000000" w:themeColor="text1"/>
          <w:sz w:val="24"/>
          <w14:textFill>
            <w14:solidFill>
              <w14:schemeClr w14:val="tx1"/>
            </w14:solidFill>
          </w14:textFill>
        </w:rPr>
        <w:t>：按照权利义务对等原则，股东原则上按照实缴的出资比例行使股东权利，</w:t>
      </w:r>
      <w:r>
        <w:rPr>
          <w:rFonts w:hint="eastAsia" w:eastAsia="仿宋"/>
          <w:b/>
          <w:bCs/>
          <w:color w:val="000000" w:themeColor="text1"/>
          <w:sz w:val="24"/>
          <w14:textFill>
            <w14:solidFill>
              <w14:schemeClr w14:val="tx1"/>
            </w14:solidFill>
          </w14:textFill>
        </w:rPr>
        <w:t>但</w:t>
      </w:r>
      <w:r>
        <w:rPr>
          <w:rFonts w:eastAsia="仿宋"/>
          <w:b/>
          <w:bCs/>
          <w:color w:val="000000" w:themeColor="text1"/>
          <w:sz w:val="24"/>
          <w14:textFill>
            <w14:solidFill>
              <w14:schemeClr w14:val="tx1"/>
            </w14:solidFill>
          </w14:textFill>
        </w:rPr>
        <w:t>股东另有约定的除外；股东有关约定内容，应当在章程中予以明确】</w:t>
      </w:r>
      <w:r>
        <w:rPr>
          <w:rFonts w:eastAsia="仿宋"/>
          <w:b/>
          <w:bCs/>
          <w:color w:val="000000" w:themeColor="text1"/>
          <w:sz w:val="24"/>
          <w14:textFill>
            <w14:solidFill>
              <w14:schemeClr w14:val="tx1"/>
            </w14:solidFill>
          </w14:textFill>
        </w:rPr>
        <w:br w:type="textWrapping"/>
      </w:r>
    </w:p>
    <w:p>
      <w:pPr>
        <w:numPr>
          <w:ilvl w:val="0"/>
          <w:numId w:val="2"/>
        </w:numPr>
        <w:shd w:val="clear" w:color="auto" w:fill="FFFFFF"/>
        <w:tabs>
          <w:tab w:val="left" w:pos="0"/>
          <w:tab w:val="left" w:pos="1620"/>
        </w:tabs>
        <w:adjustRightInd w:val="0"/>
        <w:snapToGrid w:val="0"/>
        <w:spacing w:before="312" w:beforeLines="100" w:after="312" w:afterLines="100" w:line="440" w:lineRule="exact"/>
        <w:ind w:left="0" w:firstLine="482" w:firstLineChars="200"/>
        <w:contextualSpacing/>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[股东的义务]</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股东履行以下义务：</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（一）遵守</w:t>
      </w:r>
      <w:r>
        <w:rPr>
          <w:rFonts w:hint="eastAsia" w:eastAsia="仿宋"/>
          <w:color w:val="000000" w:themeColor="text1"/>
          <w:sz w:val="24"/>
          <w14:textFill>
            <w14:solidFill>
              <w14:schemeClr w14:val="tx1"/>
            </w14:solidFill>
          </w14:textFill>
        </w:rPr>
        <w:t>法律、法规、规章、规范性文件以及本</w:t>
      </w:r>
      <w:r>
        <w:rPr>
          <w:rFonts w:eastAsia="仿宋"/>
          <w:color w:val="000000" w:themeColor="text1"/>
          <w:sz w:val="24"/>
          <w14:textFill>
            <w14:solidFill>
              <w14:schemeClr w14:val="tx1"/>
            </w14:solidFill>
          </w14:textFill>
        </w:rPr>
        <w:t>章程，服从和执行股东会决议</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（二）</w:t>
      </w:r>
      <w:r>
        <w:rPr>
          <w:rFonts w:eastAsia="仿宋"/>
          <w:color w:val="000000" w:themeColor="text1"/>
          <w:sz w:val="24"/>
          <w14:textFill>
            <w14:solidFill>
              <w14:schemeClr w14:val="tx1"/>
            </w14:solidFill>
          </w14:textFill>
        </w:rPr>
        <w:t>保守公司商业秘密；</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三</w:t>
      </w:r>
      <w:r>
        <w:rPr>
          <w:rFonts w:eastAsia="仿宋"/>
          <w:color w:val="000000" w:themeColor="text1"/>
          <w:sz w:val="24"/>
          <w14:textFill>
            <w14:solidFill>
              <w14:schemeClr w14:val="tx1"/>
            </w14:solidFill>
          </w14:textFill>
        </w:rPr>
        <w:t>）按期足额缴纳所认缴的出资；</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四</w:t>
      </w:r>
      <w:r>
        <w:rPr>
          <w:rFonts w:eastAsia="仿宋"/>
          <w:color w:val="000000" w:themeColor="text1"/>
          <w:sz w:val="24"/>
          <w14:textFill>
            <w14:solidFill>
              <w14:schemeClr w14:val="tx1"/>
            </w14:solidFill>
          </w14:textFill>
        </w:rPr>
        <w:t>）以其认缴的出资额为限对公司</w:t>
      </w:r>
      <w:r>
        <w:rPr>
          <w:rFonts w:hint="eastAsia" w:eastAsia="仿宋"/>
          <w:color w:val="000000" w:themeColor="text1"/>
          <w:sz w:val="24"/>
          <w14:textFill>
            <w14:solidFill>
              <w14:schemeClr w14:val="tx1"/>
            </w14:solidFill>
          </w14:textFill>
        </w:rPr>
        <w:t>的债务</w:t>
      </w:r>
      <w:r>
        <w:rPr>
          <w:rFonts w:eastAsia="仿宋"/>
          <w:color w:val="000000" w:themeColor="text1"/>
          <w:sz w:val="24"/>
          <w14:textFill>
            <w14:solidFill>
              <w14:schemeClr w14:val="tx1"/>
            </w14:solidFill>
          </w14:textFill>
        </w:rPr>
        <w:t>承担有限责任；</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五</w:t>
      </w:r>
      <w:r>
        <w:rPr>
          <w:rFonts w:eastAsia="仿宋"/>
          <w:color w:val="000000" w:themeColor="text1"/>
          <w:sz w:val="24"/>
          <w14:textFill>
            <w14:solidFill>
              <w14:schemeClr w14:val="tx1"/>
            </w14:solidFill>
          </w14:textFill>
        </w:rPr>
        <w:t>）公司依法登记成立后，</w:t>
      </w:r>
      <w:r>
        <w:rPr>
          <w:rFonts w:hint="eastAsia" w:eastAsia="仿宋"/>
          <w:color w:val="000000" w:themeColor="text1"/>
          <w:sz w:val="24"/>
          <w14:textFill>
            <w14:solidFill>
              <w14:schemeClr w14:val="tx1"/>
            </w14:solidFill>
          </w14:textFill>
        </w:rPr>
        <w:t>不得抽逃出资；非经法律法规和本章程规定的减资程序</w:t>
      </w:r>
      <w:r>
        <w:rPr>
          <w:rFonts w:eastAsia="仿宋"/>
          <w:color w:val="000000" w:themeColor="text1"/>
          <w:sz w:val="24"/>
          <w14:textFill>
            <w14:solidFill>
              <w14:schemeClr w14:val="tx1"/>
            </w14:solidFill>
          </w14:textFill>
        </w:rPr>
        <w:t>，不得减少出资；</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六</w:t>
      </w:r>
      <w:r>
        <w:rPr>
          <w:rFonts w:eastAsia="仿宋"/>
          <w:color w:val="000000" w:themeColor="text1"/>
          <w:sz w:val="24"/>
          <w14:textFill>
            <w14:solidFill>
              <w14:schemeClr w14:val="tx1"/>
            </w14:solidFill>
          </w14:textFill>
        </w:rPr>
        <w:t>）法律</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法规</w:t>
      </w:r>
      <w:r>
        <w:rPr>
          <w:rFonts w:hint="eastAsia" w:eastAsia="仿宋"/>
          <w:color w:val="000000" w:themeColor="text1"/>
          <w:sz w:val="24"/>
          <w14:textFill>
            <w14:solidFill>
              <w14:schemeClr w14:val="tx1"/>
            </w14:solidFill>
          </w14:textFill>
        </w:rPr>
        <w:t>、规章、规范性文件以及本</w:t>
      </w:r>
      <w:r>
        <w:rPr>
          <w:rFonts w:eastAsia="仿宋"/>
          <w:color w:val="000000" w:themeColor="text1"/>
          <w:sz w:val="24"/>
          <w14:textFill>
            <w14:solidFill>
              <w14:schemeClr w14:val="tx1"/>
            </w14:solidFill>
          </w14:textFill>
        </w:rPr>
        <w:t>章程规定的其他义务。</w:t>
      </w:r>
      <w:r>
        <w:rPr>
          <w:rFonts w:eastAsia="仿宋"/>
          <w:color w:val="000000" w:themeColor="text1"/>
          <w:sz w:val="24"/>
          <w14:textFill>
            <w14:solidFill>
              <w14:schemeClr w14:val="tx1"/>
            </w14:solidFill>
          </w14:textFill>
        </w:rPr>
        <w:br w:type="textWrapping"/>
      </w:r>
    </w:p>
    <w:p>
      <w:pPr>
        <w:numPr>
          <w:ilvl w:val="0"/>
          <w:numId w:val="2"/>
        </w:numPr>
        <w:shd w:val="clear" w:color="auto" w:fill="FFFFFF"/>
        <w:tabs>
          <w:tab w:val="left" w:pos="0"/>
          <w:tab w:val="left" w:pos="1620"/>
        </w:tabs>
        <w:adjustRightInd w:val="0"/>
        <w:snapToGrid w:val="0"/>
        <w:spacing w:before="312" w:beforeLines="100" w:after="312" w:afterLines="100" w:line="440" w:lineRule="exact"/>
        <w:ind w:left="0" w:firstLine="482" w:firstLineChars="200"/>
        <w:contextualSpacing/>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[股权的质押]</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股东将其持有的股权进行质押的，除</w:t>
      </w:r>
      <w:r>
        <w:rPr>
          <w:rFonts w:hint="eastAsia" w:eastAsia="仿宋"/>
          <w:color w:val="000000" w:themeColor="text1"/>
          <w:sz w:val="24"/>
          <w14:textFill>
            <w14:solidFill>
              <w14:schemeClr w14:val="tx1"/>
            </w14:solidFill>
          </w14:textFill>
        </w:rPr>
        <w:t>应当经其他股东过半数同意</w:t>
      </w:r>
      <w:r>
        <w:rPr>
          <w:rFonts w:eastAsia="仿宋"/>
          <w:color w:val="000000" w:themeColor="text1"/>
          <w:sz w:val="24"/>
          <w14:textFill>
            <w14:solidFill>
              <w14:schemeClr w14:val="tx1"/>
            </w14:solidFill>
          </w14:textFill>
        </w:rPr>
        <w:t>外，还应当自</w:t>
      </w:r>
      <w:r>
        <w:rPr>
          <w:rFonts w:hint="eastAsia" w:eastAsia="仿宋"/>
          <w:color w:val="000000" w:themeColor="text1"/>
          <w:sz w:val="24"/>
          <w14:textFill>
            <w14:solidFill>
              <w14:schemeClr w14:val="tx1"/>
            </w14:solidFill>
          </w14:textFill>
        </w:rPr>
        <w:t>质权登记</w:t>
      </w:r>
      <w:r>
        <w:rPr>
          <w:rFonts w:eastAsia="仿宋"/>
          <w:color w:val="000000" w:themeColor="text1"/>
          <w:sz w:val="24"/>
          <w14:textFill>
            <w14:solidFill>
              <w14:schemeClr w14:val="tx1"/>
            </w14:solidFill>
          </w14:textFill>
        </w:rPr>
        <w:t>之日起三个工作日内，向公司作出书面报告。</w:t>
      </w:r>
      <w:r>
        <w:rPr>
          <w:rFonts w:eastAsia="仿宋"/>
          <w:color w:val="000000" w:themeColor="text1"/>
          <w:sz w:val="24"/>
          <w14:textFill>
            <w14:solidFill>
              <w14:schemeClr w14:val="tx1"/>
            </w14:solidFill>
          </w14:textFill>
        </w:rPr>
        <w:br w:type="textWrapping"/>
      </w:r>
    </w:p>
    <w:p>
      <w:pPr>
        <w:numPr>
          <w:ilvl w:val="0"/>
          <w:numId w:val="2"/>
        </w:numPr>
        <w:shd w:val="clear" w:color="auto" w:fill="FFFFFF"/>
        <w:tabs>
          <w:tab w:val="left" w:pos="0"/>
          <w:tab w:val="left" w:pos="1620"/>
        </w:tabs>
        <w:adjustRightInd w:val="0"/>
        <w:snapToGrid w:val="0"/>
        <w:spacing w:before="249" w:beforeLines="80" w:after="249" w:afterLines="80" w:line="440" w:lineRule="exact"/>
        <w:ind w:left="0" w:firstLine="482" w:firstLineChars="200"/>
        <w:contextualSpacing/>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[股权内部转让]</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股东之间可以相互转让其全部或者部分股权。</w:t>
      </w:r>
      <w:r>
        <w:rPr>
          <w:rFonts w:eastAsia="仿宋"/>
          <w:color w:val="000000" w:themeColor="text1"/>
          <w:sz w:val="24"/>
          <w14:textFill>
            <w14:solidFill>
              <w14:schemeClr w14:val="tx1"/>
            </w14:solidFill>
          </w14:textFill>
        </w:rPr>
        <w:br w:type="textWrapping"/>
      </w:r>
    </w:p>
    <w:p>
      <w:pPr>
        <w:numPr>
          <w:ilvl w:val="0"/>
          <w:numId w:val="2"/>
        </w:numPr>
        <w:shd w:val="clear" w:color="auto" w:fill="FFFFFF"/>
        <w:tabs>
          <w:tab w:val="left" w:pos="0"/>
          <w:tab w:val="left" w:pos="1620"/>
        </w:tabs>
        <w:adjustRightInd w:val="0"/>
        <w:snapToGrid w:val="0"/>
        <w:spacing w:before="249" w:beforeLines="80" w:after="249" w:afterLines="80" w:line="440" w:lineRule="exact"/>
        <w:ind w:left="0" w:firstLine="482" w:firstLineChars="200"/>
        <w:contextualSpacing/>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r>
        <w:rPr>
          <w:rFonts w:hint="eastAsia" w:eastAsia="仿宋"/>
          <w:b/>
          <w:bCs/>
          <w:color w:val="000000" w:themeColor="text1"/>
          <w:sz w:val="24"/>
          <w14:textFill>
            <w14:solidFill>
              <w14:schemeClr w14:val="tx1"/>
            </w14:solidFill>
          </w14:textFill>
        </w:rPr>
        <w:t>股权对</w:t>
      </w:r>
      <w:r>
        <w:rPr>
          <w:rFonts w:eastAsia="仿宋"/>
          <w:b/>
          <w:bCs/>
          <w:color w:val="000000" w:themeColor="text1"/>
          <w:sz w:val="24"/>
          <w14:textFill>
            <w14:solidFill>
              <w14:schemeClr w14:val="tx1"/>
            </w14:solidFill>
          </w14:textFill>
        </w:rPr>
        <w:t>外转让和</w:t>
      </w:r>
      <w:r>
        <w:rPr>
          <w:rFonts w:hint="eastAsia" w:eastAsia="仿宋"/>
          <w:b/>
          <w:bCs/>
          <w:color w:val="000000" w:themeColor="text1"/>
          <w:sz w:val="24"/>
          <w14:textFill>
            <w14:solidFill>
              <w14:schemeClr w14:val="tx1"/>
            </w14:solidFill>
          </w14:textFill>
        </w:rPr>
        <w:t>其他股东的</w:t>
      </w:r>
      <w:r>
        <w:rPr>
          <w:rFonts w:eastAsia="仿宋"/>
          <w:b/>
          <w:bCs/>
          <w:color w:val="000000" w:themeColor="text1"/>
          <w:sz w:val="24"/>
          <w14:textFill>
            <w14:solidFill>
              <w14:schemeClr w14:val="tx1"/>
            </w14:solidFill>
          </w14:textFill>
        </w:rPr>
        <w:t>优先购买权]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向股东以外的人转让其股权时，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经股东同意转让的股权，在同等条件下，其他股东享有优先购买权。两个以上股东主张行使优先购买权的，协商确定各自的购买比例；协商不成的，按照转让时各自的</w:t>
      </w:r>
      <w:r>
        <w:rPr>
          <w:rFonts w:hint="eastAsia" w:eastAsia="仿宋"/>
          <w:color w:val="000000" w:themeColor="text1"/>
          <w:sz w:val="24"/>
          <w14:textFill>
            <w14:solidFill>
              <w14:schemeClr w14:val="tx1"/>
            </w14:solidFill>
          </w14:textFill>
        </w:rPr>
        <w:t>实缴</w:t>
      </w:r>
      <w:r>
        <w:rPr>
          <w:rFonts w:eastAsia="仿宋"/>
          <w:color w:val="000000" w:themeColor="text1"/>
          <w:sz w:val="24"/>
          <w14:textFill>
            <w14:solidFill>
              <w14:schemeClr w14:val="tx1"/>
            </w14:solidFill>
          </w14:textFill>
        </w:rPr>
        <w:t>出资比例行使优先购买权。</w:t>
      </w:r>
      <w:r>
        <w:rPr>
          <w:rFonts w:eastAsia="仿宋"/>
          <w:color w:val="000000" w:themeColor="text1"/>
          <w:sz w:val="24"/>
          <w14:textFill>
            <w14:solidFill>
              <w14:schemeClr w14:val="tx1"/>
            </w14:solidFill>
          </w14:textFill>
        </w:rPr>
        <w:br w:type="textWrapping"/>
      </w:r>
    </w:p>
    <w:p>
      <w:pPr>
        <w:numPr>
          <w:ilvl w:val="0"/>
          <w:numId w:val="2"/>
        </w:numPr>
        <w:shd w:val="clear" w:color="auto" w:fill="FFFFFF"/>
        <w:tabs>
          <w:tab w:val="left" w:pos="0"/>
          <w:tab w:val="left" w:pos="1620"/>
        </w:tabs>
        <w:adjustRightInd w:val="0"/>
        <w:snapToGrid w:val="0"/>
        <w:spacing w:before="249" w:beforeLines="80" w:after="249" w:afterLines="80" w:line="440" w:lineRule="exact"/>
        <w:ind w:left="0" w:firstLine="482" w:firstLineChars="200"/>
        <w:contextualSpacing/>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[新增资本的认缴]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公司新增资本时，股东有权优先按照</w:t>
      </w:r>
      <w:r>
        <w:rPr>
          <w:rFonts w:hint="eastAsia" w:eastAsia="仿宋"/>
          <w:color w:val="000000" w:themeColor="text1"/>
          <w:sz w:val="24"/>
          <w14:textFill>
            <w14:solidFill>
              <w14:schemeClr w14:val="tx1"/>
            </w14:solidFill>
          </w14:textFill>
        </w:rPr>
        <w:t>其对公司的</w:t>
      </w:r>
      <w:r>
        <w:rPr>
          <w:rFonts w:eastAsia="仿宋"/>
          <w:color w:val="000000" w:themeColor="text1"/>
          <w:sz w:val="24"/>
          <w14:textFill>
            <w14:solidFill>
              <w14:schemeClr w14:val="tx1"/>
            </w14:solidFill>
          </w14:textFill>
        </w:rPr>
        <w:t>实缴出资比例认缴出资。</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公司新增资本应当在依法设立的</w:t>
      </w:r>
      <w:bookmarkStart w:id="22" w:name="OLE_LINK16"/>
      <w:bookmarkStart w:id="23" w:name="OLE_LINK15"/>
      <w:r>
        <w:rPr>
          <w:rFonts w:hint="eastAsia" w:eastAsia="仿宋"/>
          <w:color w:val="000000" w:themeColor="text1"/>
          <w:sz w:val="24"/>
          <w14:textFill>
            <w14:solidFill>
              <w14:schemeClr w14:val="tx1"/>
            </w14:solidFill>
          </w14:textFill>
        </w:rPr>
        <w:t>产权交易机构</w:t>
      </w:r>
      <w:bookmarkEnd w:id="22"/>
      <w:bookmarkEnd w:id="23"/>
      <w:r>
        <w:rPr>
          <w:rFonts w:hint="eastAsia" w:eastAsia="仿宋"/>
          <w:color w:val="000000" w:themeColor="text1"/>
          <w:sz w:val="24"/>
          <w14:textFill>
            <w14:solidFill>
              <w14:schemeClr w14:val="tx1"/>
            </w14:solidFill>
          </w14:textFill>
        </w:rPr>
        <w:t>公开进行，法律法规另有规定或市国资委另有要求的除外。</w:t>
      </w:r>
      <w:r>
        <w:rPr>
          <w:rFonts w:eastAsia="仿宋"/>
          <w:color w:val="000000" w:themeColor="text1"/>
          <w:sz w:val="24"/>
          <w14:textFill>
            <w14:solidFill>
              <w14:schemeClr w14:val="tx1"/>
            </w14:solidFill>
          </w14:textFill>
        </w:rPr>
        <w:br w:type="textWrapping"/>
      </w:r>
    </w:p>
    <w:p>
      <w:pPr>
        <w:numPr>
          <w:ilvl w:val="0"/>
          <w:numId w:val="2"/>
        </w:numPr>
        <w:shd w:val="clear" w:color="auto" w:fill="FFFFFF"/>
        <w:tabs>
          <w:tab w:val="left" w:pos="0"/>
          <w:tab w:val="left" w:pos="1620"/>
        </w:tabs>
        <w:adjustRightInd w:val="0"/>
        <w:snapToGrid w:val="0"/>
        <w:spacing w:before="249" w:beforeLines="80" w:after="249" w:afterLines="80" w:line="440" w:lineRule="exact"/>
        <w:ind w:left="0" w:firstLine="482" w:firstLineChars="200"/>
        <w:contextualSpacing/>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[股东的变更]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w:t>
      </w:r>
      <w:r>
        <w:rPr>
          <w:rFonts w:hint="eastAsia" w:eastAsia="仿宋"/>
          <w:color w:val="000000" w:themeColor="text1"/>
          <w:sz w:val="24"/>
          <w14:textFill>
            <w14:solidFill>
              <w14:schemeClr w14:val="tx1"/>
            </w14:solidFill>
          </w14:textFill>
        </w:rPr>
        <w:t>依法变更</w:t>
      </w:r>
      <w:r>
        <w:rPr>
          <w:rFonts w:eastAsia="仿宋"/>
          <w:color w:val="000000" w:themeColor="text1"/>
          <w:sz w:val="24"/>
          <w14:textFill>
            <w14:solidFill>
              <w14:schemeClr w14:val="tx1"/>
            </w14:solidFill>
          </w14:textFill>
        </w:rPr>
        <w:t>后，公司应</w:t>
      </w:r>
      <w:r>
        <w:rPr>
          <w:rFonts w:hint="eastAsia" w:eastAsia="仿宋"/>
          <w:color w:val="000000" w:themeColor="text1"/>
          <w:sz w:val="24"/>
          <w14:textFill>
            <w14:solidFill>
              <w14:schemeClr w14:val="tx1"/>
            </w14:solidFill>
          </w14:textFill>
        </w:rPr>
        <w:t>当注销原股东的出资证明书，向新股东签发出资证明书，并</w:t>
      </w:r>
      <w:r>
        <w:rPr>
          <w:rFonts w:eastAsia="仿宋"/>
          <w:color w:val="000000" w:themeColor="text1"/>
          <w:sz w:val="24"/>
          <w14:textFill>
            <w14:solidFill>
              <w14:schemeClr w14:val="tx1"/>
            </w14:solidFill>
          </w14:textFill>
        </w:rPr>
        <w:t>相应修改</w:t>
      </w:r>
      <w:r>
        <w:rPr>
          <w:rFonts w:hint="eastAsia" w:eastAsia="仿宋"/>
          <w:color w:val="000000" w:themeColor="text1"/>
          <w:sz w:val="24"/>
          <w14:textFill>
            <w14:solidFill>
              <w14:schemeClr w14:val="tx1"/>
            </w14:solidFill>
          </w14:textFill>
        </w:rPr>
        <w:t>本</w:t>
      </w:r>
      <w:r>
        <w:rPr>
          <w:rFonts w:eastAsia="仿宋"/>
          <w:color w:val="000000" w:themeColor="text1"/>
          <w:sz w:val="24"/>
          <w14:textFill>
            <w14:solidFill>
              <w14:schemeClr w14:val="tx1"/>
            </w14:solidFill>
          </w14:textFill>
        </w:rPr>
        <w:t>章程和股东名册中有关股东</w:t>
      </w:r>
      <w:r>
        <w:rPr>
          <w:rFonts w:hint="eastAsia" w:eastAsia="仿宋"/>
          <w:color w:val="000000" w:themeColor="text1"/>
          <w:sz w:val="24"/>
          <w14:textFill>
            <w14:solidFill>
              <w14:schemeClr w14:val="tx1"/>
            </w14:solidFill>
          </w14:textFill>
        </w:rPr>
        <w:t>的姓名或名称、住所、联系方式</w:t>
      </w:r>
      <w:r>
        <w:rPr>
          <w:rFonts w:eastAsia="仿宋"/>
          <w:color w:val="000000" w:themeColor="text1"/>
          <w:sz w:val="24"/>
          <w14:textFill>
            <w14:solidFill>
              <w14:schemeClr w14:val="tx1"/>
            </w14:solidFill>
          </w14:textFill>
        </w:rPr>
        <w:t>及其出资额的</w:t>
      </w:r>
      <w:r>
        <w:rPr>
          <w:rFonts w:hint="eastAsia" w:eastAsia="仿宋"/>
          <w:color w:val="000000" w:themeColor="text1"/>
          <w:sz w:val="24"/>
          <w14:textFill>
            <w14:solidFill>
              <w14:schemeClr w14:val="tx1"/>
            </w14:solidFill>
          </w14:textFill>
        </w:rPr>
        <w:t>相关</w:t>
      </w:r>
      <w:r>
        <w:rPr>
          <w:rFonts w:eastAsia="仿宋"/>
          <w:color w:val="000000" w:themeColor="text1"/>
          <w:sz w:val="24"/>
          <w14:textFill>
            <w14:solidFill>
              <w14:schemeClr w14:val="tx1"/>
            </w14:solidFill>
          </w14:textFill>
        </w:rPr>
        <w:t>记载</w:t>
      </w:r>
      <w:r>
        <w:rPr>
          <w:rFonts w:hint="eastAsia" w:eastAsia="仿宋"/>
          <w:color w:val="000000" w:themeColor="text1"/>
          <w:sz w:val="24"/>
          <w14:textFill>
            <w14:solidFill>
              <w14:schemeClr w14:val="tx1"/>
            </w14:solidFill>
          </w14:textFill>
        </w:rPr>
        <w:t>，按相关规定及时办理国有产权登记变更</w:t>
      </w:r>
      <w:r>
        <w:rPr>
          <w:rFonts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p>
    <w:p>
      <w:pPr>
        <w:numPr>
          <w:ilvl w:val="0"/>
          <w:numId w:val="2"/>
        </w:numPr>
        <w:shd w:val="clear" w:color="auto" w:fill="FFFFFF"/>
        <w:tabs>
          <w:tab w:val="left" w:pos="0"/>
          <w:tab w:val="left" w:pos="1620"/>
        </w:tabs>
        <w:adjustRightInd w:val="0"/>
        <w:snapToGrid w:val="0"/>
        <w:spacing w:before="249" w:beforeLines="80" w:after="249" w:afterLines="80" w:line="440" w:lineRule="exact"/>
        <w:ind w:left="0" w:firstLine="482" w:firstLineChars="200"/>
        <w:contextualSpacing/>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[国有股权转让的</w:t>
      </w:r>
      <w:r>
        <w:rPr>
          <w:rFonts w:hint="eastAsia" w:eastAsia="仿宋"/>
          <w:b/>
          <w:bCs/>
          <w:color w:val="000000" w:themeColor="text1"/>
          <w:sz w:val="24"/>
          <w14:textFill>
            <w14:solidFill>
              <w14:schemeClr w14:val="tx1"/>
            </w14:solidFill>
          </w14:textFill>
        </w:rPr>
        <w:t>特殊</w:t>
      </w:r>
      <w:r>
        <w:rPr>
          <w:rFonts w:eastAsia="仿宋"/>
          <w:b/>
          <w:bCs/>
          <w:color w:val="000000" w:themeColor="text1"/>
          <w:sz w:val="24"/>
          <w14:textFill>
            <w14:solidFill>
              <w14:schemeClr w14:val="tx1"/>
            </w14:solidFill>
          </w14:textFill>
        </w:rPr>
        <w:t>要求]</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涉及国有股权转让的，除</w:t>
      </w:r>
      <w:r>
        <w:rPr>
          <w:rFonts w:hint="eastAsia" w:eastAsia="仿宋"/>
          <w:color w:val="000000" w:themeColor="text1"/>
          <w:sz w:val="24"/>
          <w14:textFill>
            <w14:solidFill>
              <w14:schemeClr w14:val="tx1"/>
            </w14:solidFill>
          </w14:textFill>
        </w:rPr>
        <w:t>应遵守</w:t>
      </w:r>
      <w:r>
        <w:rPr>
          <w:rFonts w:eastAsia="仿宋"/>
          <w:color w:val="000000" w:themeColor="text1"/>
          <w:sz w:val="24"/>
          <w14:textFill>
            <w14:solidFill>
              <w14:schemeClr w14:val="tx1"/>
            </w14:solidFill>
          </w14:textFill>
        </w:rPr>
        <w:t>本章程</w:t>
      </w:r>
      <w:r>
        <w:rPr>
          <w:rFonts w:hint="eastAsia" w:eastAsia="仿宋"/>
          <w:color w:val="000000" w:themeColor="text1"/>
          <w:sz w:val="24"/>
          <w14:textFill>
            <w14:solidFill>
              <w14:schemeClr w14:val="tx1"/>
            </w14:solidFill>
          </w14:textFill>
        </w:rPr>
        <w:t>的相关</w:t>
      </w:r>
      <w:r>
        <w:rPr>
          <w:rFonts w:eastAsia="仿宋"/>
          <w:color w:val="000000" w:themeColor="text1"/>
          <w:sz w:val="24"/>
          <w14:textFill>
            <w14:solidFill>
              <w14:schemeClr w14:val="tx1"/>
            </w14:solidFill>
          </w14:textFill>
        </w:rPr>
        <w:t>规定外，还应当按照国资监管的要求履行必要的合规及国有产权交易程序。</w:t>
      </w:r>
      <w:r>
        <w:rPr>
          <w:rFonts w:hint="eastAsia" w:eastAsia="仿宋"/>
          <w:color w:val="000000" w:themeColor="text1"/>
          <w:sz w:val="24"/>
          <w14:textFill>
            <w14:solidFill>
              <w14:schemeClr w14:val="tx1"/>
            </w14:solidFill>
          </w14:textFill>
        </w:rPr>
        <w:t>国有股权转让涉及进场交易的，还应当遵循产权交易机构的交易规则。</w:t>
      </w:r>
      <w:r>
        <w:rPr>
          <w:rFonts w:eastAsia="仿宋"/>
          <w:color w:val="000000" w:themeColor="text1"/>
          <w:sz w:val="24"/>
          <w14:textFill>
            <w14:solidFill>
              <w14:schemeClr w14:val="tx1"/>
            </w14:solidFill>
          </w14:textFill>
        </w:rPr>
        <w:br w:type="textWrapping"/>
      </w:r>
    </w:p>
    <w:p>
      <w:pPr>
        <w:pStyle w:val="2"/>
        <w:numPr>
          <w:ilvl w:val="0"/>
          <w:numId w:val="1"/>
        </w:numPr>
        <w:spacing w:before="249" w:beforeLines="80" w:after="249" w:afterLines="80" w:line="440" w:lineRule="exact"/>
        <w:ind w:left="0" w:firstLine="0"/>
        <w:jc w:val="center"/>
        <w:rPr>
          <w:rFonts w:eastAsia="仿宋"/>
          <w:color w:val="000000" w:themeColor="text1"/>
          <w:sz w:val="24"/>
          <w:szCs w:val="24"/>
          <w14:textFill>
            <w14:solidFill>
              <w14:schemeClr w14:val="tx1"/>
            </w14:solidFill>
          </w14:textFill>
        </w:rPr>
      </w:pPr>
      <w:bookmarkStart w:id="24" w:name="_Toc130021877"/>
      <w:r>
        <w:rPr>
          <w:rFonts w:hint="eastAsia" w:eastAsia="仿宋"/>
          <w:color w:val="000000" w:themeColor="text1"/>
          <w:sz w:val="24"/>
          <w:szCs w:val="24"/>
          <w14:textFill>
            <w14:solidFill>
              <w14:schemeClr w14:val="tx1"/>
            </w14:solidFill>
          </w14:textFill>
        </w:rPr>
        <w:t>党委</w:t>
      </w:r>
    </w:p>
    <w:p>
      <w:pPr>
        <w:numPr>
          <w:ilvl w:val="0"/>
          <w:numId w:val="2"/>
        </w:numPr>
        <w:shd w:val="clear" w:color="auto" w:fill="FFFFFF"/>
        <w:tabs>
          <w:tab w:val="left" w:pos="0"/>
          <w:tab w:val="left" w:pos="1620"/>
        </w:tabs>
        <w:adjustRightInd w:val="0"/>
        <w:snapToGrid w:val="0"/>
        <w:spacing w:before="249" w:beforeLines="80" w:after="249" w:afterLines="80" w:line="440" w:lineRule="exact"/>
        <w:ind w:left="0" w:firstLine="482" w:firstLineChars="200"/>
        <w:contextualSpacing/>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[党组织机构设置]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根据《公司法》和《中国共产党章程》的规定，经上级党组织批准，</w:t>
      </w:r>
      <w:r>
        <w:rPr>
          <w:rFonts w:hint="eastAsia" w:eastAsia="仿宋"/>
          <w:color w:val="000000" w:themeColor="text1"/>
          <w:sz w:val="24"/>
          <w14:textFill>
            <w14:solidFill>
              <w14:schemeClr w14:val="tx1"/>
            </w14:solidFill>
          </w14:textFill>
        </w:rPr>
        <w:t>公司</w:t>
      </w:r>
      <w:r>
        <w:rPr>
          <w:rFonts w:eastAsia="仿宋"/>
          <w:color w:val="000000" w:themeColor="text1"/>
          <w:sz w:val="24"/>
          <w14:textFill>
            <w14:solidFill>
              <w14:schemeClr w14:val="tx1"/>
            </w14:solidFill>
          </w14:textFill>
        </w:rPr>
        <w:t>设立中国共产党【公司名称】委员会。同时，根据有关规定设立党的纪律检查委员会（以下简称“纪委”）或纪检监察组。</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公司应当为各级党组织及其纪律检查机构活动提供必要的条件。党组织机构设置、人员编制纳入公司管理机构和编制，党组织工作经费纳入公司预算，从公司管理费中列支。</w:t>
      </w:r>
      <w:r>
        <w:rPr>
          <w:rFonts w:eastAsia="仿宋"/>
          <w:color w:val="000000" w:themeColor="text1"/>
          <w:sz w:val="24"/>
          <w14:textFill>
            <w14:solidFill>
              <w14:schemeClr w14:val="tx1"/>
            </w14:solidFill>
          </w14:textFill>
        </w:rPr>
        <w:br w:type="textWrapping"/>
      </w:r>
    </w:p>
    <w:p>
      <w:pPr>
        <w:numPr>
          <w:ilvl w:val="0"/>
          <w:numId w:val="2"/>
        </w:numPr>
        <w:shd w:val="clear" w:color="auto" w:fill="FFFFFF"/>
        <w:tabs>
          <w:tab w:val="left" w:pos="0"/>
          <w:tab w:val="left" w:pos="1620"/>
          <w:tab w:val="left" w:pos="2127"/>
        </w:tabs>
        <w:adjustRightInd w:val="0"/>
        <w:snapToGrid w:val="0"/>
        <w:spacing w:before="312" w:beforeLines="100" w:after="312" w:afterLines="100" w:line="440" w:lineRule="exact"/>
        <w:ind w:left="0"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[党委成员]</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公司党委成员由党员大会或者党员代表大会选举产生。党委每届任期一般为5年，任期届满应当按期进行换届选举。纪委每届任期和党委相同。</w:t>
      </w:r>
      <w:r>
        <w:rPr>
          <w:rFonts w:eastAsia="仿宋"/>
          <w:color w:val="000000" w:themeColor="text1"/>
          <w:sz w:val="24"/>
          <w14:textFill>
            <w14:solidFill>
              <w14:schemeClr w14:val="tx1"/>
            </w14:solidFill>
          </w14:textFill>
        </w:rPr>
        <w:br w:type="textWrapping"/>
      </w:r>
    </w:p>
    <w:p>
      <w:pPr>
        <w:numPr>
          <w:ilvl w:val="0"/>
          <w:numId w:val="2"/>
        </w:numPr>
        <w:shd w:val="clear" w:color="auto" w:fill="FFFFFF"/>
        <w:tabs>
          <w:tab w:val="left" w:pos="0"/>
          <w:tab w:val="left" w:pos="1620"/>
          <w:tab w:val="left" w:pos="2127"/>
        </w:tabs>
        <w:adjustRightInd w:val="0"/>
        <w:snapToGrid w:val="0"/>
        <w:spacing w:before="312" w:beforeLines="100" w:after="312" w:afterLines="100" w:line="440" w:lineRule="exact"/>
        <w:ind w:left="0" w:firstLine="482" w:firstLineChars="20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[党委的组成]</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公司党组织领导班子成员为【】人，设党委书记1</w:t>
      </w:r>
      <w:r>
        <w:rPr>
          <w:rFonts w:hint="eastAsia" w:eastAsia="仿宋"/>
          <w:color w:val="000000" w:themeColor="text1"/>
          <w:sz w:val="24"/>
          <w14:textFill>
            <w14:solidFill>
              <w14:schemeClr w14:val="tx1"/>
            </w14:solidFill>
          </w14:textFill>
        </w:rPr>
        <w:t>人</w:t>
      </w:r>
      <w:r>
        <w:rPr>
          <w:rFonts w:eastAsia="仿宋"/>
          <w:color w:val="000000" w:themeColor="text1"/>
          <w:sz w:val="24"/>
          <w14:textFill>
            <w14:solidFill>
              <w14:schemeClr w14:val="tx1"/>
            </w14:solidFill>
          </w14:textFill>
        </w:rPr>
        <w:t>，党委副书记【】人，其他党委成员若干</w:t>
      </w:r>
      <w:r>
        <w:rPr>
          <w:rFonts w:hint="eastAsia" w:eastAsia="仿宋"/>
          <w:color w:val="000000" w:themeColor="text1"/>
          <w:sz w:val="24"/>
          <w14:textFill>
            <w14:solidFill>
              <w14:schemeClr w14:val="tx1"/>
            </w14:solidFill>
          </w14:textFill>
        </w:rPr>
        <w:t>人，设纪委书记（派驻纪检监察组长）</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公司党委书记、董事长原则上由一人担任，党员</w:t>
      </w:r>
      <w:r>
        <w:rPr>
          <w:rFonts w:hAnsi="仿宋" w:eastAsia="仿宋"/>
          <w:color w:val="000000" w:themeColor="text1"/>
          <w:sz w:val="24"/>
          <w14:textFill>
            <w14:solidFill>
              <w14:schemeClr w14:val="tx1"/>
            </w14:solidFill>
          </w14:textFill>
        </w:rPr>
        <w:t>总裁（总经理）</w:t>
      </w:r>
      <w:r>
        <w:rPr>
          <w:rFonts w:eastAsia="仿宋"/>
          <w:color w:val="000000" w:themeColor="text1"/>
          <w:sz w:val="24"/>
          <w14:textFill>
            <w14:solidFill>
              <w14:schemeClr w14:val="tx1"/>
            </w14:solidFill>
          </w14:textFill>
        </w:rPr>
        <w:t>担任</w:t>
      </w:r>
      <w:r>
        <w:rPr>
          <w:rFonts w:hint="eastAsia" w:eastAsia="仿宋"/>
          <w:color w:val="000000" w:themeColor="text1"/>
          <w:sz w:val="24"/>
          <w14:textFill>
            <w14:solidFill>
              <w14:schemeClr w14:val="tx1"/>
            </w14:solidFill>
          </w14:textFill>
        </w:rPr>
        <w:t>党委</w:t>
      </w:r>
      <w:r>
        <w:rPr>
          <w:rFonts w:eastAsia="仿宋"/>
          <w:color w:val="000000" w:themeColor="text1"/>
          <w:sz w:val="24"/>
          <w14:textFill>
            <w14:solidFill>
              <w14:schemeClr w14:val="tx1"/>
            </w14:solidFill>
          </w14:textFill>
        </w:rPr>
        <w:t>副书记。</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坚持和完善“双向进入、交叉任职”领导体制，符合条件的党委班子成员可通过法定程序进入董事会、监事会、经理层。董事会、监事会、经理层成员中符合条件的党员可依照有关规定和程序进入党委。</w:t>
      </w:r>
      <w:r>
        <w:rPr>
          <w:rFonts w:eastAsia="仿宋"/>
          <w:color w:val="000000" w:themeColor="text1"/>
          <w:sz w:val="24"/>
          <w14:textFill>
            <w14:solidFill>
              <w14:schemeClr w14:val="tx1"/>
            </w14:solidFill>
          </w14:textFill>
        </w:rPr>
        <w:br w:type="textWrapping"/>
      </w:r>
    </w:p>
    <w:p>
      <w:pPr>
        <w:numPr>
          <w:ilvl w:val="0"/>
          <w:numId w:val="2"/>
        </w:numPr>
        <w:shd w:val="clear" w:color="auto" w:fill="FFFFFF"/>
        <w:tabs>
          <w:tab w:val="left" w:pos="0"/>
          <w:tab w:val="left" w:pos="1620"/>
        </w:tabs>
        <w:adjustRightInd w:val="0"/>
        <w:snapToGrid w:val="0"/>
        <w:spacing w:before="249" w:beforeLines="80" w:after="249" w:afterLines="80" w:line="440" w:lineRule="exact"/>
        <w:ind w:left="0" w:firstLine="539"/>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[党委的职权]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公司党委发挥领导作用，把方向、管大局、保落实，依照规定讨论和决定公司重大事项。公司党委</w:t>
      </w:r>
      <w:r>
        <w:rPr>
          <w:rFonts w:hint="eastAsia" w:eastAsia="仿宋"/>
          <w:color w:val="000000" w:themeColor="text1"/>
          <w:sz w:val="24"/>
          <w14:textFill>
            <w14:solidFill>
              <w14:schemeClr w14:val="tx1"/>
            </w14:solidFill>
          </w14:textFill>
        </w:rPr>
        <w:t>的主要</w:t>
      </w:r>
      <w:r>
        <w:rPr>
          <w:rFonts w:eastAsia="仿宋"/>
          <w:color w:val="000000" w:themeColor="text1"/>
          <w:sz w:val="24"/>
          <w14:textFill>
            <w14:solidFill>
              <w14:schemeClr w14:val="tx1"/>
            </w14:solidFill>
          </w14:textFill>
        </w:rPr>
        <w:t>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（一）加强公司党的政治建设，</w:t>
      </w:r>
      <w:r>
        <w:rPr>
          <w:rFonts w:hint="eastAsia" w:eastAsia="仿宋"/>
          <w:color w:val="000000" w:themeColor="text1"/>
          <w:sz w:val="24"/>
          <w14:textFill>
            <w14:solidFill>
              <w14:schemeClr w14:val="tx1"/>
            </w14:solidFill>
          </w14:textFill>
        </w:rPr>
        <w:t>坚持和落实中国特色</w:t>
      </w:r>
      <w:r>
        <w:rPr>
          <w:rFonts w:hint="eastAsia" w:hAnsi="仿宋" w:eastAsia="仿宋"/>
          <w:color w:val="000000" w:themeColor="text1"/>
          <w:sz w:val="24"/>
          <w14:textFill>
            <w14:solidFill>
              <w14:schemeClr w14:val="tx1"/>
            </w14:solidFill>
          </w14:textFill>
        </w:rPr>
        <w:t>社会主义根本制度、基本制度、重要制度</w:t>
      </w:r>
      <w:r>
        <w:rPr>
          <w:rFonts w:eastAsia="仿宋"/>
          <w:color w:val="000000" w:themeColor="text1"/>
          <w:sz w:val="24"/>
          <w14:textFill>
            <w14:solidFill>
              <w14:schemeClr w14:val="tx1"/>
            </w14:solidFill>
          </w14:textFill>
        </w:rPr>
        <w:t>，教育引导全体党员</w:t>
      </w:r>
      <w:r>
        <w:rPr>
          <w:rFonts w:hint="eastAsia" w:hAnsi="仿宋" w:eastAsia="仿宋"/>
          <w:color w:val="000000" w:themeColor="text1"/>
          <w:sz w:val="24"/>
          <w14:textFill>
            <w14:solidFill>
              <w14:schemeClr w14:val="tx1"/>
            </w14:solidFill>
          </w14:textFill>
        </w:rPr>
        <w:t>始终在政治立场、政治方向、政治原则、政治道路上同以</w:t>
      </w:r>
      <w:r>
        <w:rPr>
          <w:rFonts w:eastAsia="仿宋"/>
          <w:color w:val="000000" w:themeColor="text1"/>
          <w:sz w:val="24"/>
          <w14:textFill>
            <w14:solidFill>
              <w14:schemeClr w14:val="tx1"/>
            </w14:solidFill>
          </w14:textFill>
        </w:rPr>
        <w:t>习近平</w:t>
      </w:r>
      <w:r>
        <w:rPr>
          <w:rFonts w:hint="eastAsia" w:eastAsia="仿宋"/>
          <w:color w:val="000000" w:themeColor="text1"/>
          <w:sz w:val="24"/>
          <w14:textFill>
            <w14:solidFill>
              <w14:schemeClr w14:val="tx1"/>
            </w14:solidFill>
          </w14:textFill>
        </w:rPr>
        <w:t>同志为</w:t>
      </w:r>
      <w:r>
        <w:rPr>
          <w:rFonts w:eastAsia="仿宋"/>
          <w:color w:val="000000" w:themeColor="text1"/>
          <w:sz w:val="24"/>
          <w14:textFill>
            <w14:solidFill>
              <w14:schemeClr w14:val="tx1"/>
            </w14:solidFill>
          </w14:textFill>
        </w:rPr>
        <w:t>核心</w:t>
      </w:r>
      <w:r>
        <w:rPr>
          <w:rFonts w:hint="eastAsia" w:eastAsia="仿宋"/>
          <w:color w:val="000000" w:themeColor="text1"/>
          <w:sz w:val="24"/>
          <w14:textFill>
            <w14:solidFill>
              <w14:schemeClr w14:val="tx1"/>
            </w14:solidFill>
          </w14:textFill>
        </w:rPr>
        <w:t>的</w:t>
      </w:r>
      <w:r>
        <w:rPr>
          <w:rFonts w:eastAsia="仿宋"/>
          <w:color w:val="000000" w:themeColor="text1"/>
          <w:sz w:val="24"/>
          <w14:textFill>
            <w14:solidFill>
              <w14:schemeClr w14:val="tx1"/>
            </w14:solidFill>
          </w14:textFill>
        </w:rPr>
        <w:t>党中央</w:t>
      </w:r>
      <w:r>
        <w:rPr>
          <w:rFonts w:hint="eastAsia" w:eastAsia="仿宋"/>
          <w:color w:val="000000" w:themeColor="text1"/>
          <w:sz w:val="24"/>
          <w14:textFill>
            <w14:solidFill>
              <w14:schemeClr w14:val="tx1"/>
            </w14:solidFill>
          </w14:textFill>
        </w:rPr>
        <w:t>保持高度</w:t>
      </w:r>
      <w:r>
        <w:rPr>
          <w:rFonts w:eastAsia="仿宋"/>
          <w:color w:val="000000" w:themeColor="text1"/>
          <w:sz w:val="24"/>
          <w14:textFill>
            <w14:solidFill>
              <w14:schemeClr w14:val="tx1"/>
            </w14:solidFill>
          </w14:textFill>
        </w:rPr>
        <w:t>一</w:t>
      </w:r>
      <w:r>
        <w:rPr>
          <w:rFonts w:hint="eastAsia" w:eastAsia="仿宋"/>
          <w:color w:val="000000" w:themeColor="text1"/>
          <w:sz w:val="24"/>
          <w14:textFill>
            <w14:solidFill>
              <w14:schemeClr w14:val="tx1"/>
            </w14:solidFill>
          </w14:textFill>
        </w:rPr>
        <w:t>致</w:t>
      </w:r>
      <w:r>
        <w:rPr>
          <w:rFonts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w:t>
      </w:r>
      <w:r>
        <w:rPr>
          <w:rFonts w:hint="eastAsia" w:eastAsia="仿宋"/>
          <w:color w:val="000000" w:themeColor="text1"/>
          <w:sz w:val="24"/>
          <w14:textFill>
            <w14:solidFill>
              <w14:schemeClr w14:val="tx1"/>
            </w14:solidFill>
          </w14:textFill>
        </w:rPr>
        <w:t>深入</w:t>
      </w:r>
      <w:r>
        <w:rPr>
          <w:rFonts w:eastAsia="仿宋"/>
          <w:color w:val="000000" w:themeColor="text1"/>
          <w:sz w:val="24"/>
          <w14:textFill>
            <w14:solidFill>
              <w14:schemeClr w14:val="tx1"/>
            </w14:solidFill>
          </w14:textFill>
        </w:rPr>
        <w:t>学习贯彻习近</w:t>
      </w:r>
      <w:r>
        <w:rPr>
          <w:rFonts w:hint="eastAsia" w:hAnsi="仿宋" w:eastAsia="仿宋"/>
          <w:color w:val="000000" w:themeColor="text1"/>
          <w:sz w:val="24"/>
          <w14:textFill>
            <w14:solidFill>
              <w14:schemeClr w14:val="tx1"/>
            </w14:solidFill>
          </w14:textFill>
        </w:rPr>
        <w:t>平新时代中国特色社会主义思想，学习宣传党的理论，贯彻执行党的方针政策，监督、保证党中央、上海市委、市政府的重大决策部署和市国资委党委及上级党组织决议在公司贯彻落实；</w:t>
      </w:r>
      <w:r>
        <w:rPr>
          <w:rFonts w:hint="eastAsia" w:hAnsi="仿宋"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（三）研究讨论公司重大经营管理事项，支持</w:t>
      </w:r>
      <w:r>
        <w:rPr>
          <w:rFonts w:hint="eastAsia" w:eastAsia="仿宋"/>
          <w:color w:val="000000" w:themeColor="text1"/>
          <w:sz w:val="24"/>
          <w14:textFill>
            <w14:solidFill>
              <w14:schemeClr w14:val="tx1"/>
            </w14:solidFill>
          </w14:textFill>
        </w:rPr>
        <w:t>股东会、</w:t>
      </w:r>
      <w:r>
        <w:rPr>
          <w:rFonts w:eastAsia="仿宋"/>
          <w:color w:val="000000" w:themeColor="text1"/>
          <w:sz w:val="24"/>
          <w14:textFill>
            <w14:solidFill>
              <w14:schemeClr w14:val="tx1"/>
            </w14:solidFill>
          </w14:textFill>
        </w:rPr>
        <w:t>董事会</w:t>
      </w:r>
      <w:r>
        <w:rPr>
          <w:rFonts w:hint="eastAsia" w:eastAsia="仿宋"/>
          <w:color w:val="000000" w:themeColor="text1"/>
          <w:sz w:val="24"/>
          <w14:textFill>
            <w14:solidFill>
              <w14:schemeClr w14:val="tx1"/>
            </w14:solidFill>
          </w14:textFill>
        </w:rPr>
        <w:t>、监事会</w:t>
      </w:r>
      <w:r>
        <w:rPr>
          <w:rFonts w:eastAsia="仿宋"/>
          <w:color w:val="000000" w:themeColor="text1"/>
          <w:sz w:val="24"/>
          <w14:textFill>
            <w14:solidFill>
              <w14:schemeClr w14:val="tx1"/>
            </w14:solidFill>
          </w14:textFill>
        </w:rPr>
        <w:t>和经理层依法行使职权；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（四）加强对公司选人用人的领导和把关，抓好领导班子建设和</w:t>
      </w:r>
      <w:r>
        <w:rPr>
          <w:rFonts w:hint="eastAsia" w:eastAsia="仿宋"/>
          <w:color w:val="000000" w:themeColor="text1"/>
          <w:sz w:val="24"/>
          <w14:textFill>
            <w14:solidFill>
              <w14:schemeClr w14:val="tx1"/>
            </w14:solidFill>
          </w14:textFill>
        </w:rPr>
        <w:t>干部队伍、</w:t>
      </w:r>
      <w:r>
        <w:rPr>
          <w:rFonts w:eastAsia="仿宋"/>
          <w:color w:val="000000" w:themeColor="text1"/>
          <w:sz w:val="24"/>
          <w14:textFill>
            <w14:solidFill>
              <w14:schemeClr w14:val="tx1"/>
            </w14:solidFill>
          </w14:textFill>
        </w:rPr>
        <w:t>人才队伍建设；</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（五）履行公司</w:t>
      </w:r>
      <w:r>
        <w:rPr>
          <w:rFonts w:hint="eastAsia" w:hAnsi="仿宋" w:eastAsia="仿宋"/>
          <w:color w:val="000000" w:themeColor="text1"/>
          <w:sz w:val="24"/>
          <w14:textFill>
            <w14:solidFill>
              <w14:schemeClr w14:val="tx1"/>
            </w14:solidFill>
          </w14:textFill>
        </w:rPr>
        <w:t>党风廉政建设</w:t>
      </w:r>
      <w:r>
        <w:rPr>
          <w:rFonts w:eastAsia="仿宋"/>
          <w:color w:val="000000" w:themeColor="text1"/>
          <w:sz w:val="24"/>
          <w14:textFill>
            <w14:solidFill>
              <w14:schemeClr w14:val="tx1"/>
            </w14:solidFill>
          </w14:textFill>
        </w:rPr>
        <w:t>主体责任，领导、支持</w:t>
      </w:r>
      <w:r>
        <w:rPr>
          <w:rFonts w:hint="eastAsia" w:hAnsi="仿宋" w:eastAsia="仿宋"/>
          <w:color w:val="000000" w:themeColor="text1"/>
          <w:sz w:val="24"/>
          <w14:textFill>
            <w14:solidFill>
              <w14:schemeClr w14:val="tx1"/>
            </w14:solidFill>
          </w14:textFill>
        </w:rPr>
        <w:t>内设纪检组织</w:t>
      </w:r>
      <w:r>
        <w:rPr>
          <w:rFonts w:eastAsia="仿宋"/>
          <w:color w:val="000000" w:themeColor="text1"/>
          <w:sz w:val="24"/>
          <w14:textFill>
            <w14:solidFill>
              <w14:schemeClr w14:val="tx1"/>
            </w14:solidFill>
          </w14:textFill>
        </w:rPr>
        <w:t>履行监督</w:t>
      </w:r>
      <w:r>
        <w:rPr>
          <w:rFonts w:hint="eastAsia" w:hAnsi="仿宋" w:eastAsia="仿宋"/>
          <w:color w:val="000000" w:themeColor="text1"/>
          <w:sz w:val="24"/>
          <w14:textFill>
            <w14:solidFill>
              <w14:schemeClr w14:val="tx1"/>
            </w14:solidFill>
          </w14:textFill>
        </w:rPr>
        <w:t>执纪问责职</w:t>
      </w:r>
      <w:r>
        <w:rPr>
          <w:rFonts w:hint="eastAsia" w:eastAsia="仿宋"/>
          <w:color w:val="000000" w:themeColor="text1"/>
          <w:sz w:val="24"/>
          <w14:textFill>
            <w14:solidFill>
              <w14:schemeClr w14:val="tx1"/>
            </w14:solidFill>
          </w14:textFill>
        </w:rPr>
        <w:t>责</w:t>
      </w:r>
      <w:r>
        <w:rPr>
          <w:rFonts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严明政治纪律和政治规矩，</w:t>
      </w:r>
      <w:r>
        <w:rPr>
          <w:rFonts w:eastAsia="仿宋"/>
          <w:color w:val="000000" w:themeColor="text1"/>
          <w:sz w:val="24"/>
          <w14:textFill>
            <w14:solidFill>
              <w14:schemeClr w14:val="tx1"/>
            </w14:solidFill>
          </w14:textFill>
        </w:rPr>
        <w:t>推动全面从严治党向基层延伸；</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（六）加强基层党组织建设和党员队伍建设，团结带领职工群众积极投身公司改革发展；</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七</w:t>
      </w:r>
      <w:r>
        <w:rPr>
          <w:rFonts w:eastAsia="仿宋"/>
          <w:color w:val="000000" w:themeColor="text1"/>
          <w:sz w:val="24"/>
          <w14:textFill>
            <w14:solidFill>
              <w14:schemeClr w14:val="tx1"/>
            </w14:solidFill>
          </w14:textFill>
        </w:rPr>
        <w:t>）领导公司思想政治工作、精神文明建设、统一战线工作，领导公司工会、共青团</w:t>
      </w:r>
      <w:r>
        <w:rPr>
          <w:rFonts w:hint="eastAsia" w:eastAsia="仿宋"/>
          <w:color w:val="000000" w:themeColor="text1"/>
          <w:sz w:val="24"/>
          <w14:textFill>
            <w14:solidFill>
              <w14:schemeClr w14:val="tx1"/>
            </w14:solidFill>
          </w14:textFill>
        </w:rPr>
        <w:t>、妇女组织</w:t>
      </w:r>
      <w:r>
        <w:rPr>
          <w:rFonts w:eastAsia="仿宋"/>
          <w:color w:val="000000" w:themeColor="text1"/>
          <w:sz w:val="24"/>
          <w14:textFill>
            <w14:solidFill>
              <w14:schemeClr w14:val="tx1"/>
            </w14:solidFill>
          </w14:textFill>
        </w:rPr>
        <w:t>等群团组织。</w:t>
      </w:r>
      <w:r>
        <w:rPr>
          <w:rFonts w:eastAsia="仿宋"/>
          <w:color w:val="000000" w:themeColor="text1"/>
          <w:sz w:val="24"/>
          <w14:textFill>
            <w14:solidFill>
              <w14:schemeClr w14:val="tx1"/>
            </w14:solidFill>
          </w14:textFill>
        </w:rPr>
        <w:br w:type="textWrapping"/>
      </w:r>
    </w:p>
    <w:p>
      <w:pPr>
        <w:numPr>
          <w:ilvl w:val="0"/>
          <w:numId w:val="2"/>
        </w:numPr>
        <w:shd w:val="clear" w:color="auto" w:fill="FFFFFF"/>
        <w:tabs>
          <w:tab w:val="left" w:pos="0"/>
          <w:tab w:val="left" w:pos="1620"/>
        </w:tabs>
        <w:adjustRightInd w:val="0"/>
        <w:snapToGrid w:val="0"/>
        <w:spacing w:before="249" w:beforeLines="80" w:after="249" w:afterLines="80" w:line="440" w:lineRule="exact"/>
        <w:ind w:left="0" w:firstLine="482" w:firstLineChars="20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[党委会</w:t>
      </w:r>
      <w:r>
        <w:rPr>
          <w:rFonts w:hint="eastAsia" w:eastAsia="仿宋"/>
          <w:b/>
          <w:bCs/>
          <w:color w:val="000000" w:themeColor="text1"/>
          <w:sz w:val="24"/>
          <w14:textFill>
            <w14:solidFill>
              <w14:schemeClr w14:val="tx1"/>
            </w14:solidFill>
          </w14:textFill>
        </w:rPr>
        <w:t>运行机制</w:t>
      </w:r>
      <w:r>
        <w:rPr>
          <w:rFonts w:eastAsia="仿宋"/>
          <w:b/>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公司党委通过制定党委会议事规则、书记办公会工作制度等，明确党委议事的原则、范围、议题、方法和纪律、落实与监督，形成党组织参与企业重大问题决策的体制机制。</w:t>
      </w:r>
      <w:r>
        <w:rPr>
          <w:rFonts w:eastAsia="仿宋"/>
          <w:color w:val="000000" w:themeColor="text1"/>
          <w:sz w:val="24"/>
          <w14:textFill>
            <w14:solidFill>
              <w14:schemeClr w14:val="tx1"/>
            </w14:solidFill>
          </w14:textFill>
        </w:rPr>
        <w:br w:type="textWrapping"/>
      </w:r>
    </w:p>
    <w:p>
      <w:pPr>
        <w:shd w:val="clear" w:color="auto" w:fill="FFFFFF"/>
        <w:tabs>
          <w:tab w:val="left" w:pos="0"/>
          <w:tab w:val="left" w:pos="1620"/>
        </w:tabs>
        <w:adjustRightInd w:val="0"/>
        <w:snapToGrid w:val="0"/>
        <w:spacing w:before="249" w:beforeLines="80" w:after="249" w:afterLines="80" w:line="440" w:lineRule="exact"/>
        <w:rPr>
          <w:rFonts w:eastAsia="仿宋"/>
          <w:color w:val="000000" w:themeColor="text1"/>
          <w:sz w:val="24"/>
          <w14:textFill>
            <w14:solidFill>
              <w14:schemeClr w14:val="tx1"/>
            </w14:solidFill>
          </w14:textFill>
        </w:rPr>
      </w:pPr>
    </w:p>
    <w:p>
      <w:pPr>
        <w:pStyle w:val="2"/>
        <w:numPr>
          <w:ilvl w:val="0"/>
          <w:numId w:val="1"/>
        </w:numPr>
        <w:spacing w:before="249" w:beforeLines="80" w:after="249" w:afterLines="80" w:line="440" w:lineRule="exact"/>
        <w:ind w:left="0" w:firstLine="0"/>
        <w:jc w:val="center"/>
        <w:rPr>
          <w:rFonts w:eastAsia="仿宋"/>
          <w:color w:val="000000" w:themeColor="text1"/>
          <w:sz w:val="24"/>
          <w:szCs w:val="24"/>
          <w14:textFill>
            <w14:solidFill>
              <w14:schemeClr w14:val="tx1"/>
            </w14:solidFill>
          </w14:textFill>
        </w:rPr>
      </w:pPr>
      <w:bookmarkStart w:id="25" w:name="_Toc48290101"/>
      <w:r>
        <w:rPr>
          <w:rFonts w:eastAsia="仿宋"/>
          <w:color w:val="000000" w:themeColor="text1"/>
          <w:sz w:val="24"/>
          <w:szCs w:val="24"/>
          <w14:textFill>
            <w14:solidFill>
              <w14:schemeClr w14:val="tx1"/>
            </w14:solidFill>
          </w14:textFill>
        </w:rPr>
        <w:t>公司的机构及其产生办法、职权、议事规则</w:t>
      </w:r>
      <w:bookmarkEnd w:id="24"/>
      <w:bookmarkEnd w:id="25"/>
    </w:p>
    <w:p>
      <w:pPr>
        <w:pStyle w:val="3"/>
        <w:numPr>
          <w:ilvl w:val="1"/>
          <w:numId w:val="1"/>
        </w:numPr>
        <w:spacing w:before="249" w:beforeLines="80" w:after="249" w:afterLines="80" w:line="440" w:lineRule="exact"/>
        <w:ind w:left="0" w:firstLine="0"/>
        <w:jc w:val="center"/>
        <w:rPr>
          <w:rFonts w:ascii="Times New Roman" w:hAnsi="Times New Roman" w:eastAsia="仿宋"/>
          <w:color w:val="000000" w:themeColor="text1"/>
          <w:sz w:val="24"/>
          <w:szCs w:val="24"/>
          <w14:textFill>
            <w14:solidFill>
              <w14:schemeClr w14:val="tx1"/>
            </w14:solidFill>
          </w14:textFill>
        </w:rPr>
      </w:pPr>
      <w:bookmarkStart w:id="26" w:name="_Toc130021878"/>
      <w:bookmarkStart w:id="27" w:name="_Toc48290102"/>
      <w:r>
        <w:rPr>
          <w:rFonts w:ascii="Times New Roman" w:hAnsi="Times New Roman" w:eastAsia="仿宋"/>
          <w:color w:val="000000" w:themeColor="text1"/>
          <w:sz w:val="24"/>
          <w:szCs w:val="24"/>
          <w14:textFill>
            <w14:solidFill>
              <w14:schemeClr w14:val="tx1"/>
            </w14:solidFill>
          </w14:textFill>
        </w:rPr>
        <w:t>股东会职</w:t>
      </w:r>
      <w:bookmarkEnd w:id="26"/>
      <w:r>
        <w:rPr>
          <w:rFonts w:ascii="Times New Roman" w:hAnsi="Times New Roman" w:eastAsia="仿宋"/>
          <w:color w:val="000000" w:themeColor="text1"/>
          <w:sz w:val="24"/>
          <w:szCs w:val="24"/>
          <w14:textFill>
            <w14:solidFill>
              <w14:schemeClr w14:val="tx1"/>
            </w14:solidFill>
          </w14:textFill>
        </w:rPr>
        <w:t>权</w:t>
      </w:r>
      <w:bookmarkEnd w:id="27"/>
    </w:p>
    <w:p>
      <w:pPr>
        <w:numPr>
          <w:ilvl w:val="0"/>
          <w:numId w:val="2"/>
        </w:numPr>
        <w:shd w:val="clear" w:color="auto" w:fill="FFFFFF"/>
        <w:tabs>
          <w:tab w:val="left" w:pos="0"/>
          <w:tab w:val="left" w:pos="1620"/>
        </w:tabs>
        <w:adjustRightInd w:val="0"/>
        <w:snapToGrid w:val="0"/>
        <w:spacing w:line="440" w:lineRule="exact"/>
        <w:ind w:left="0" w:firstLine="482" w:firstLineChars="20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[股东会的职权]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股东会由全体股东组成，是公司的权力机构。股东会依法行使</w:t>
      </w:r>
      <w:r>
        <w:rPr>
          <w:rFonts w:eastAsia="仿宋"/>
          <w:color w:val="000000" w:themeColor="text1"/>
          <w:sz w:val="24"/>
          <w14:textFill>
            <w14:solidFill>
              <w14:schemeClr w14:val="tx1"/>
            </w14:solidFill>
          </w14:textFill>
        </w:rPr>
        <w:t>以下职权：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w:t>
      </w:r>
      <w:r>
        <w:rPr>
          <w:rFonts w:hint="eastAsia" w:eastAsia="仿宋"/>
          <w:color w:val="000000" w:themeColor="text1"/>
          <w:sz w:val="24"/>
          <w14:textFill>
            <w14:solidFill>
              <w14:schemeClr w14:val="tx1"/>
            </w14:solidFill>
          </w14:textFill>
        </w:rPr>
        <w:t>决定公司的战略和发展规划；</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（二）决定公司的经营方针和投资计划；</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（三）制定或批准公司章程和章程修改方案；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（四）组建公司董事会、监事会，选举和更换非由职工代表担任的董事、监事，对其进行考核，决定其报酬；</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（五）审议批准董事会的报告；</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（六）审议批准监事会的报告；</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（七）审议批准公司的年度财务预算方案、决算方案；对公司年度财务决算和重大事项进行抽查检查；</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（八）审议批准公司的利润分配方案和弥补亏损方案；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（九）决定公司增加或者减少注册资本的方案；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（十）决定公司合并、分立、变更公司形式、申请破产、解散、清算等事宜；</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（十一）决定公司发行债券</w:t>
      </w:r>
      <w:r>
        <w:rPr>
          <w:rFonts w:eastAsia="仿宋"/>
          <w:color w:val="000000" w:themeColor="text1"/>
          <w:sz w:val="24"/>
          <w14:textFill>
            <w14:solidFill>
              <w14:schemeClr w14:val="tx1"/>
            </w14:solidFill>
          </w14:textFill>
        </w:rPr>
        <w:t>或</w:t>
      </w:r>
      <w:r>
        <w:rPr>
          <w:rFonts w:hint="eastAsia" w:eastAsia="仿宋"/>
          <w:color w:val="000000" w:themeColor="text1"/>
          <w:sz w:val="24"/>
          <w14:textFill>
            <w14:solidFill>
              <w14:schemeClr w14:val="tx1"/>
            </w14:solidFill>
          </w14:textFill>
        </w:rPr>
        <w:t>其他具有债券性质的证券；</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（十二）审议</w:t>
      </w:r>
      <w:r>
        <w:rPr>
          <w:rFonts w:hint="eastAsia" w:hAnsi="仿宋" w:eastAsia="仿宋"/>
          <w:sz w:val="24"/>
        </w:rPr>
        <w:t>由公司自行决定的</w:t>
      </w:r>
      <w:r>
        <w:rPr>
          <w:rFonts w:hint="eastAsia" w:eastAsia="仿宋"/>
          <w:color w:val="000000" w:themeColor="text1"/>
          <w:sz w:val="24"/>
          <w14:textFill>
            <w14:solidFill>
              <w14:schemeClr w14:val="tx1"/>
            </w14:solidFill>
          </w14:textFill>
        </w:rPr>
        <w:t>重大会计政策、会计估计变更方案；</w:t>
      </w:r>
    </w:p>
    <w:p>
      <w:pPr>
        <w:numPr>
          <w:ilvl w:val="255"/>
          <w:numId w:val="0"/>
        </w:numPr>
        <w:tabs>
          <w:tab w:val="left" w:pos="0"/>
          <w:tab w:val="left" w:pos="1620"/>
        </w:tabs>
        <w:spacing w:line="440" w:lineRule="exact"/>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（十三）</w:t>
      </w:r>
      <w:r>
        <w:rPr>
          <w:rFonts w:hAnsi="仿宋" w:eastAsia="仿宋"/>
          <w:color w:val="000000" w:themeColor="text1"/>
          <w:sz w:val="24"/>
          <w14:textFill>
            <w14:solidFill>
              <w14:schemeClr w14:val="tx1"/>
            </w14:solidFill>
          </w14:textFill>
        </w:rPr>
        <w:t>决定聘任或解聘会计师事务所，必要时决定对公司重要经济活动和重大财务事项进行审计；</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（十四）决定公司累计金额超过公司最近一期经审计净资产【】</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或单笔金额超过公司最近一期经审计的净资产【】</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的对外投资、国有资产处置、重大对外担保以及融资事项；前述担保事项包括：批准公司本项规定金额范围的保证、抵押、质押等对外担保方案。</w:t>
      </w:r>
      <w:r>
        <w:rPr>
          <w:rFonts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w:t>
      </w:r>
      <w:r>
        <w:rPr>
          <w:rFonts w:hint="eastAsia" w:hAnsi="仿宋" w:eastAsia="仿宋"/>
          <w:b/>
          <w:color w:val="000000" w:themeColor="text1"/>
          <w:sz w:val="24"/>
          <w14:textFill>
            <w14:solidFill>
              <w14:schemeClr w14:val="tx1"/>
            </w14:solidFill>
          </w14:textFill>
        </w:rPr>
        <w:t>【说明：公司应根据市国资委相关投资监督管理办法、财务风险相关管理规定并结合企业自身实际情况，确定应由股东会作出决议的</w:t>
      </w:r>
      <w:r>
        <w:rPr>
          <w:rFonts w:hAnsi="仿宋" w:eastAsia="仿宋"/>
          <w:b/>
          <w:color w:val="000000" w:themeColor="text1"/>
          <w:sz w:val="24"/>
          <w14:textFill>
            <w14:solidFill>
              <w14:schemeClr w14:val="tx1"/>
            </w14:solidFill>
          </w14:textFill>
        </w:rPr>
        <w:t>对外投资、资产处置</w:t>
      </w:r>
      <w:r>
        <w:rPr>
          <w:rFonts w:hint="eastAsia" w:hAnsi="仿宋" w:eastAsia="仿宋"/>
          <w:b/>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对外担保</w:t>
      </w:r>
      <w:r>
        <w:rPr>
          <w:rFonts w:hAnsi="仿宋" w:eastAsia="仿宋"/>
          <w:b/>
          <w:color w:val="000000" w:themeColor="text1"/>
          <w:sz w:val="24"/>
          <w14:textFill>
            <w14:solidFill>
              <w14:schemeClr w14:val="tx1"/>
            </w14:solidFill>
          </w14:textFill>
        </w:rPr>
        <w:t>以及融资</w:t>
      </w:r>
      <w:r>
        <w:rPr>
          <w:rFonts w:hint="eastAsia" w:hAnsi="仿宋" w:eastAsia="仿宋"/>
          <w:b/>
          <w:color w:val="000000" w:themeColor="text1"/>
          <w:sz w:val="24"/>
          <w14:textFill>
            <w14:solidFill>
              <w14:schemeClr w14:val="tx1"/>
            </w14:solidFill>
          </w14:textFill>
        </w:rPr>
        <w:t>事项】</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（十五）</w:t>
      </w:r>
      <w:r>
        <w:rPr>
          <w:rFonts w:hint="eastAsia" w:ascii="仿宋" w:hAnsi="仿宋" w:eastAsia="仿宋"/>
          <w:color w:val="000000" w:themeColor="text1"/>
          <w:sz w:val="24"/>
          <w14:textFill>
            <w14:solidFill>
              <w14:schemeClr w14:val="tx1"/>
            </w14:solidFill>
          </w14:textFill>
        </w:rPr>
        <w:t>按照规定权限决定公司国有资产转让，对部分子企业国有产权变动事项形成决议；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（十</w:t>
      </w:r>
      <w:r>
        <w:rPr>
          <w:rFonts w:hint="eastAsia" w:eastAsia="仿宋"/>
          <w:color w:val="000000" w:themeColor="text1"/>
          <w:sz w:val="24"/>
          <w14:textFill>
            <w14:solidFill>
              <w14:schemeClr w14:val="tx1"/>
            </w14:solidFill>
          </w14:textFill>
        </w:rPr>
        <w:t>六</w:t>
      </w:r>
      <w:r>
        <w:rPr>
          <w:rFonts w:eastAsia="仿宋"/>
          <w:color w:val="000000" w:themeColor="text1"/>
          <w:sz w:val="24"/>
          <w14:textFill>
            <w14:solidFill>
              <w14:schemeClr w14:val="tx1"/>
            </w14:solidFill>
          </w14:textFill>
        </w:rPr>
        <w:t>）对股东向股东以外的人转让</w:t>
      </w:r>
      <w:r>
        <w:rPr>
          <w:rFonts w:hint="eastAsia" w:eastAsia="仿宋"/>
          <w:color w:val="000000" w:themeColor="text1"/>
          <w:sz w:val="24"/>
          <w14:textFill>
            <w14:solidFill>
              <w14:schemeClr w14:val="tx1"/>
            </w14:solidFill>
          </w14:textFill>
        </w:rPr>
        <w:t>股权</w:t>
      </w:r>
      <w:r>
        <w:rPr>
          <w:rFonts w:eastAsia="仿宋"/>
          <w:color w:val="000000" w:themeColor="text1"/>
          <w:sz w:val="24"/>
          <w14:textFill>
            <w14:solidFill>
              <w14:schemeClr w14:val="tx1"/>
            </w14:solidFill>
          </w14:textFill>
        </w:rPr>
        <w:t>作出决议；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（十七）审议批准公司业绩考核和重大收入分配事项；</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（十八）法律、法规、规章、规范性文件以及本章程规定的其他职权。</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对前款所列事项股东以书面形式一致表示同意的，可以不召开股东会会议，直接作出决定，并由全体股东在决定文件上签名或盖章。</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[股东会首次会议的召集和主持]</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会的首次会议由出资最多的股东召集和主持。此后的股东会会议由董事会依法召集，董事长主持。董事长不能履行职务或者不履行职务的，由副董事长主持；副董事长不能履行职务或者不履行职务的，由半数以上董事共同推举一名董事主持。</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董事会不能履行或者不履行召集股东会会议职责的，由监事会召集和主持；监事会不召集和主持的，代表十分之一以上表决权的股东可以自行召集和主持。</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[股东会会议的出席]</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会会议由持有公司三分之二以上表决权的股东出席方可召开。股东法定代表人因故不能亲自出席股东会，可以书面委托代理人参加股东会会议，代理其行使表决权。股东委托代理人应出具授权委托书，载明代理人姓名和授权范围。</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482" w:firstLineChars="20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[表决权的行使]</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股东会会议由股东按照其</w:t>
      </w:r>
      <w:r>
        <w:rPr>
          <w:rFonts w:hint="eastAsia" w:eastAsia="仿宋"/>
          <w:color w:val="000000" w:themeColor="text1"/>
          <w:sz w:val="24"/>
          <w14:textFill>
            <w14:solidFill>
              <w14:schemeClr w14:val="tx1"/>
            </w14:solidFill>
          </w14:textFill>
        </w:rPr>
        <w:t>实缴出资比例行使表决权，但全体股东另有书面一致</w:t>
      </w:r>
      <w:r>
        <w:rPr>
          <w:rFonts w:eastAsia="仿宋"/>
          <w:color w:val="000000" w:themeColor="text1"/>
          <w:sz w:val="24"/>
          <w14:textFill>
            <w14:solidFill>
              <w14:schemeClr w14:val="tx1"/>
            </w14:solidFill>
          </w14:textFill>
        </w:rPr>
        <w:t>约定或</w:t>
      </w:r>
      <w:r>
        <w:rPr>
          <w:rFonts w:hint="eastAsia" w:eastAsia="仿宋"/>
          <w:color w:val="000000" w:themeColor="text1"/>
          <w:sz w:val="24"/>
          <w14:textFill>
            <w14:solidFill>
              <w14:schemeClr w14:val="tx1"/>
            </w14:solidFill>
          </w14:textFill>
        </w:rPr>
        <w:t>本</w:t>
      </w:r>
      <w:r>
        <w:rPr>
          <w:rFonts w:eastAsia="仿宋"/>
          <w:color w:val="000000" w:themeColor="text1"/>
          <w:sz w:val="24"/>
          <w14:textFill>
            <w14:solidFill>
              <w14:schemeClr w14:val="tx1"/>
            </w14:solidFill>
          </w14:textFill>
        </w:rPr>
        <w:t>章程另有规定的除外。</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[股东会的形式]</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股东会会议分为定期会议和临时会议。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股东会定期会议每年召开一次，一般应不迟于当年六月三十日。股东会定期会议应当于会议召开十五日以前书面通知全体股东，会议通知应列明会议议题、举行时间和地点，并附送与议题相关的文件资料。</w:t>
      </w:r>
      <w:r>
        <w:rPr>
          <w:rFonts w:hint="eastAsia" w:eastAsia="仿宋"/>
          <w:color w:val="000000" w:themeColor="text1"/>
          <w:sz w:val="24"/>
          <w14:textFill>
            <w14:solidFill>
              <w14:schemeClr w14:val="tx1"/>
            </w14:solidFill>
          </w14:textFill>
        </w:rPr>
        <w:t>但是，全体股东另有约定的除外。</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代表十分之一以上表决权的股东，三分之一以上董事或者监事，可以提议召开股东会临时会议。临时股东会会议应当于会议召开</w:t>
      </w:r>
      <w:r>
        <w:rPr>
          <w:rFonts w:hint="eastAsia" w:eastAsia="仿宋"/>
          <w:color w:val="000000" w:themeColor="text1"/>
          <w:sz w:val="24"/>
          <w14:textFill>
            <w14:solidFill>
              <w14:schemeClr w14:val="tx1"/>
            </w14:solidFill>
          </w14:textFill>
        </w:rPr>
        <w:t>十</w:t>
      </w:r>
      <w:r>
        <w:rPr>
          <w:rFonts w:eastAsia="仿宋"/>
          <w:color w:val="000000" w:themeColor="text1"/>
          <w:sz w:val="24"/>
          <w14:textFill>
            <w14:solidFill>
              <w14:schemeClr w14:val="tx1"/>
            </w14:solidFill>
          </w14:textFill>
        </w:rPr>
        <w:t>日前通知各股东。</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[股东的表决]</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股东会会议作出修改公司章程、增加或者减少注册资本的决议，以及公司合并、分立、解散</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变更公司形式</w:t>
      </w:r>
      <w:r>
        <w:rPr>
          <w:rFonts w:hint="eastAsia" w:eastAsia="仿宋"/>
          <w:color w:val="000000" w:themeColor="text1"/>
          <w:sz w:val="24"/>
          <w14:textFill>
            <w14:solidFill>
              <w14:schemeClr w14:val="tx1"/>
            </w14:solidFill>
          </w14:textFill>
        </w:rPr>
        <w:t>或者变更公司经营期限</w:t>
      </w:r>
      <w:r>
        <w:rPr>
          <w:rFonts w:eastAsia="仿宋"/>
          <w:color w:val="000000" w:themeColor="text1"/>
          <w:sz w:val="24"/>
          <w14:textFill>
            <w14:solidFill>
              <w14:schemeClr w14:val="tx1"/>
            </w14:solidFill>
          </w14:textFill>
        </w:rPr>
        <w:t>的决议，必须经代表三分之二以上表决权的股东通过。</w:t>
      </w:r>
      <w:r>
        <w:rPr>
          <w:rFonts w:hint="eastAsia" w:eastAsia="仿宋"/>
          <w:color w:val="000000" w:themeColor="text1"/>
          <w:sz w:val="24"/>
          <w14:textFill>
            <w14:solidFill>
              <w14:schemeClr w14:val="tx1"/>
            </w14:solidFill>
          </w14:textFill>
        </w:rPr>
        <w:t>其他决议须经代表二分之以一上表决权的股东通过。</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股东在行使表决权时，不得作出有损于公司和其他股东合法权益的决定。</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股东会应当对所议事项的决定做出书面决议或会议纪要</w:t>
      </w:r>
      <w:r>
        <w:rPr>
          <w:rFonts w:hint="eastAsia" w:eastAsia="仿宋"/>
          <w:color w:val="000000" w:themeColor="text1"/>
          <w:sz w:val="24"/>
          <w14:textFill>
            <w14:solidFill>
              <w14:schemeClr w14:val="tx1"/>
            </w14:solidFill>
          </w14:textFill>
        </w:rPr>
        <w:t>（记录）</w:t>
      </w:r>
      <w:r>
        <w:rPr>
          <w:rFonts w:eastAsia="仿宋"/>
          <w:color w:val="000000" w:themeColor="text1"/>
          <w:sz w:val="24"/>
          <w14:textFill>
            <w14:solidFill>
              <w14:schemeClr w14:val="tx1"/>
            </w14:solidFill>
          </w14:textFill>
        </w:rPr>
        <w:t>，出席会议的股东代表应当在书面决议或会议纪要</w:t>
      </w:r>
      <w:r>
        <w:rPr>
          <w:rFonts w:hint="eastAsia" w:eastAsia="仿宋"/>
          <w:color w:val="000000" w:themeColor="text1"/>
          <w:sz w:val="24"/>
          <w14:textFill>
            <w14:solidFill>
              <w14:schemeClr w14:val="tx1"/>
            </w14:solidFill>
          </w14:textFill>
        </w:rPr>
        <w:t>（记录）</w:t>
      </w:r>
      <w:r>
        <w:rPr>
          <w:rFonts w:eastAsia="仿宋"/>
          <w:color w:val="000000" w:themeColor="text1"/>
          <w:sz w:val="24"/>
          <w14:textFill>
            <w14:solidFill>
              <w14:schemeClr w14:val="tx1"/>
            </w14:solidFill>
          </w14:textFill>
        </w:rPr>
        <w:t xml:space="preserve">上签名。  </w:t>
      </w:r>
      <w:r>
        <w:rPr>
          <w:rFonts w:eastAsia="仿宋"/>
          <w:color w:val="000000" w:themeColor="text1"/>
          <w:sz w:val="24"/>
          <w14:textFill>
            <w14:solidFill>
              <w14:schemeClr w14:val="tx1"/>
            </w14:solidFill>
          </w14:textFill>
        </w:rPr>
        <w:br w:type="textWrapping"/>
      </w:r>
    </w:p>
    <w:p>
      <w:pPr>
        <w:pStyle w:val="3"/>
        <w:numPr>
          <w:ilvl w:val="1"/>
          <w:numId w:val="1"/>
        </w:numPr>
        <w:spacing w:before="249" w:beforeLines="80" w:after="249" w:afterLines="80" w:line="440" w:lineRule="exact"/>
        <w:ind w:left="0" w:firstLine="0"/>
        <w:jc w:val="center"/>
        <w:rPr>
          <w:rFonts w:ascii="Times New Roman" w:hAnsi="Times New Roman" w:eastAsia="仿宋"/>
          <w:color w:val="000000" w:themeColor="text1"/>
          <w:sz w:val="24"/>
          <w:szCs w:val="24"/>
          <w14:textFill>
            <w14:solidFill>
              <w14:schemeClr w14:val="tx1"/>
            </w14:solidFill>
          </w14:textFill>
        </w:rPr>
      </w:pPr>
      <w:bookmarkStart w:id="28" w:name="_Toc48290103"/>
      <w:bookmarkStart w:id="29" w:name="_Toc130021879"/>
      <w:r>
        <w:rPr>
          <w:rFonts w:ascii="Times New Roman" w:hAnsi="Times New Roman" w:eastAsia="仿宋"/>
          <w:color w:val="000000" w:themeColor="text1"/>
          <w:sz w:val="24"/>
          <w:szCs w:val="24"/>
          <w14:textFill>
            <w14:solidFill>
              <w14:schemeClr w14:val="tx1"/>
            </w14:solidFill>
          </w14:textFill>
        </w:rPr>
        <w:t>董事会</w:t>
      </w:r>
      <w:bookmarkEnd w:id="28"/>
      <w:bookmarkEnd w:id="29"/>
    </w:p>
    <w:p>
      <w:pPr>
        <w:numPr>
          <w:ilvl w:val="0"/>
          <w:numId w:val="2"/>
        </w:numPr>
        <w:tabs>
          <w:tab w:val="left" w:pos="1620"/>
        </w:tabs>
        <w:spacing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[董事会的组成]</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公司设董事会，对股东会负责</w:t>
      </w:r>
      <w:r>
        <w:rPr>
          <w:rFonts w:hint="eastAsia" w:eastAsia="仿宋"/>
          <w:color w:val="000000" w:themeColor="text1"/>
          <w:sz w:val="24"/>
          <w14:textFill>
            <w14:solidFill>
              <w14:schemeClr w14:val="tx1"/>
            </w14:solidFill>
          </w14:textFill>
        </w:rPr>
        <w:t>。董事会</w:t>
      </w:r>
      <w:r>
        <w:rPr>
          <w:rFonts w:eastAsia="仿宋"/>
          <w:color w:val="000000" w:themeColor="text1"/>
          <w:sz w:val="24"/>
          <w14:textFill>
            <w14:solidFill>
              <w14:schemeClr w14:val="tx1"/>
            </w14:solidFill>
          </w14:textFill>
        </w:rPr>
        <w:t>由【】名董事组成</w:t>
      </w:r>
      <w:r>
        <w:rPr>
          <w:rFonts w:hint="eastAsia" w:eastAsia="仿宋"/>
          <w:color w:val="000000" w:themeColor="text1"/>
          <w:sz w:val="24"/>
          <w14:textFill>
            <w14:solidFill>
              <w14:schemeClr w14:val="tx1"/>
            </w14:solidFill>
          </w14:textFill>
        </w:rPr>
        <w:t>，其中包含【】名职工董事。</w:t>
      </w:r>
    </w:p>
    <w:p>
      <w:pPr>
        <w:numPr>
          <w:ilvl w:val="255"/>
          <w:numId w:val="0"/>
        </w:numPr>
        <w:tabs>
          <w:tab w:val="left" w:pos="1620"/>
        </w:tabs>
        <w:spacing w:line="440" w:lineRule="exact"/>
        <w:ind w:firstLine="542" w:firstLineChars="225"/>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【说明：国有全资公司外部董事人数应当超过董事会全体成员的半数，国有控股公司应当有一定比例的外部董事。外部董事由非公司员工的外部人员担任</w:t>
      </w:r>
      <w:r>
        <w:rPr>
          <w:rFonts w:hint="eastAsia" w:eastAsia="仿宋"/>
          <w:b/>
          <w:color w:val="000000" w:themeColor="text1"/>
          <w:sz w:val="24"/>
          <w14:textFill>
            <w14:solidFill>
              <w14:schemeClr w14:val="tx1"/>
            </w14:solidFill>
          </w14:textFill>
        </w:rPr>
        <w:t>。外部董事</w:t>
      </w:r>
      <w:r>
        <w:rPr>
          <w:rFonts w:eastAsia="仿宋"/>
          <w:b/>
          <w:color w:val="000000" w:themeColor="text1"/>
          <w:sz w:val="24"/>
          <w14:textFill>
            <w14:solidFill>
              <w14:schemeClr w14:val="tx1"/>
            </w14:solidFill>
          </w14:textFill>
        </w:rPr>
        <w:t>不在公司担任除董事和董事会专门委员会有关职务以外的其他职务，不负责</w:t>
      </w:r>
      <w:r>
        <w:rPr>
          <w:rFonts w:hint="eastAsia" w:eastAsia="仿宋"/>
          <w:b/>
          <w:color w:val="000000" w:themeColor="text1"/>
          <w:sz w:val="24"/>
          <w14:textFill>
            <w14:solidFill>
              <w14:schemeClr w14:val="tx1"/>
            </w14:solidFill>
          </w14:textFill>
        </w:rPr>
        <w:t>执行层</w:t>
      </w:r>
      <w:r>
        <w:rPr>
          <w:rFonts w:eastAsia="仿宋"/>
          <w:b/>
          <w:color w:val="000000" w:themeColor="text1"/>
          <w:sz w:val="24"/>
          <w14:textFill>
            <w14:solidFill>
              <w14:schemeClr w14:val="tx1"/>
            </w14:solidFill>
          </w14:textFill>
        </w:rPr>
        <w:t>的事务】</w:t>
      </w:r>
      <w:r>
        <w:rPr>
          <w:rFonts w:eastAsia="仿宋"/>
          <w:b/>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[董事产生方式]</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除</w:t>
      </w:r>
      <w:r>
        <w:rPr>
          <w:rFonts w:eastAsia="仿宋"/>
          <w:color w:val="000000" w:themeColor="text1"/>
          <w:sz w:val="24"/>
          <w14:textFill>
            <w14:solidFill>
              <w14:schemeClr w14:val="tx1"/>
            </w14:solidFill>
          </w14:textFill>
        </w:rPr>
        <w:t>职工</w:t>
      </w:r>
      <w:r>
        <w:rPr>
          <w:rFonts w:hint="eastAsia" w:eastAsia="仿宋"/>
          <w:color w:val="000000" w:themeColor="text1"/>
          <w:sz w:val="24"/>
          <w14:textFill>
            <w14:solidFill>
              <w14:schemeClr w14:val="tx1"/>
            </w14:solidFill>
          </w14:textFill>
        </w:rPr>
        <w:t>董事以外</w:t>
      </w:r>
      <w:r>
        <w:rPr>
          <w:rFonts w:eastAsia="仿宋"/>
          <w:color w:val="000000" w:themeColor="text1"/>
          <w:sz w:val="24"/>
          <w14:textFill>
            <w14:solidFill>
              <w14:schemeClr w14:val="tx1"/>
            </w14:solidFill>
          </w14:textFill>
        </w:rPr>
        <w:t>的董事人选由各股东提</w:t>
      </w:r>
      <w:r>
        <w:rPr>
          <w:rFonts w:hint="eastAsia" w:eastAsia="仿宋"/>
          <w:color w:val="000000" w:themeColor="text1"/>
          <w:sz w:val="24"/>
          <w14:textFill>
            <w14:solidFill>
              <w14:schemeClr w14:val="tx1"/>
            </w14:solidFill>
          </w14:textFill>
        </w:rPr>
        <w:t>名并经股东会选举产生。</w:t>
      </w:r>
      <w:r>
        <w:rPr>
          <w:rFonts w:eastAsia="仿宋"/>
          <w:color w:val="000000" w:themeColor="text1"/>
          <w:sz w:val="24"/>
          <w14:textFill>
            <w14:solidFill>
              <w14:schemeClr w14:val="tx1"/>
            </w14:solidFill>
          </w14:textFill>
        </w:rPr>
        <w:t>其中</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股东一</w:t>
      </w:r>
      <w:r>
        <w:rPr>
          <w:rFonts w:hint="eastAsia" w:eastAsia="仿宋"/>
          <w:color w:val="000000" w:themeColor="text1"/>
          <w:sz w:val="24"/>
          <w14:textFill>
            <w14:solidFill>
              <w14:schemeClr w14:val="tx1"/>
            </w14:solidFill>
          </w14:textFill>
        </w:rPr>
        <w:t>名称】</w:t>
      </w:r>
      <w:r>
        <w:rPr>
          <w:rFonts w:eastAsia="仿宋"/>
          <w:color w:val="000000" w:themeColor="text1"/>
          <w:sz w:val="24"/>
          <w14:textFill>
            <w14:solidFill>
              <w14:schemeClr w14:val="tx1"/>
            </w14:solidFill>
          </w14:textFill>
        </w:rPr>
        <w:t>提</w:t>
      </w:r>
      <w:r>
        <w:rPr>
          <w:rFonts w:hint="eastAsia" w:eastAsia="仿宋"/>
          <w:color w:val="000000" w:themeColor="text1"/>
          <w:sz w:val="24"/>
          <w14:textFill>
            <w14:solidFill>
              <w14:schemeClr w14:val="tx1"/>
            </w14:solidFill>
          </w14:textFill>
        </w:rPr>
        <w:t>名</w:t>
      </w:r>
      <w:r>
        <w:rPr>
          <w:rFonts w:eastAsia="仿宋"/>
          <w:color w:val="000000" w:themeColor="text1"/>
          <w:sz w:val="24"/>
          <w14:textFill>
            <w14:solidFill>
              <w14:schemeClr w14:val="tx1"/>
            </w14:solidFill>
          </w14:textFill>
        </w:rPr>
        <w:t>【】名，</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股东二</w:t>
      </w:r>
      <w:r>
        <w:rPr>
          <w:rFonts w:hint="eastAsia" w:eastAsia="仿宋"/>
          <w:color w:val="000000" w:themeColor="text1"/>
          <w:sz w:val="24"/>
          <w14:textFill>
            <w14:solidFill>
              <w14:schemeClr w14:val="tx1"/>
            </w14:solidFill>
          </w14:textFill>
        </w:rPr>
        <w:t>名称】</w:t>
      </w:r>
      <w:r>
        <w:rPr>
          <w:rFonts w:eastAsia="仿宋"/>
          <w:color w:val="000000" w:themeColor="text1"/>
          <w:sz w:val="24"/>
          <w14:textFill>
            <w14:solidFill>
              <w14:schemeClr w14:val="tx1"/>
            </w14:solidFill>
          </w14:textFill>
        </w:rPr>
        <w:t>提</w:t>
      </w:r>
      <w:r>
        <w:rPr>
          <w:rFonts w:hint="eastAsia" w:eastAsia="仿宋"/>
          <w:color w:val="000000" w:themeColor="text1"/>
          <w:sz w:val="24"/>
          <w14:textFill>
            <w14:solidFill>
              <w14:schemeClr w14:val="tx1"/>
            </w14:solidFill>
          </w14:textFill>
        </w:rPr>
        <w:t>名</w:t>
      </w:r>
      <w:r>
        <w:rPr>
          <w:rFonts w:eastAsia="仿宋"/>
          <w:color w:val="000000" w:themeColor="text1"/>
          <w:sz w:val="24"/>
          <w14:textFill>
            <w14:solidFill>
              <w14:schemeClr w14:val="tx1"/>
            </w14:solidFill>
          </w14:textFill>
        </w:rPr>
        <w:t>【】名，</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股东三</w:t>
      </w:r>
      <w:r>
        <w:rPr>
          <w:rFonts w:hint="eastAsia" w:eastAsia="仿宋"/>
          <w:color w:val="000000" w:themeColor="text1"/>
          <w:sz w:val="24"/>
          <w14:textFill>
            <w14:solidFill>
              <w14:schemeClr w14:val="tx1"/>
            </w14:solidFill>
          </w14:textFill>
        </w:rPr>
        <w:t>名称】</w:t>
      </w:r>
      <w:r>
        <w:rPr>
          <w:rFonts w:eastAsia="仿宋"/>
          <w:color w:val="000000" w:themeColor="text1"/>
          <w:sz w:val="24"/>
          <w14:textFill>
            <w14:solidFill>
              <w14:schemeClr w14:val="tx1"/>
            </w14:solidFill>
          </w14:textFill>
        </w:rPr>
        <w:t>提</w:t>
      </w:r>
      <w:r>
        <w:rPr>
          <w:rFonts w:hint="eastAsia" w:eastAsia="仿宋"/>
          <w:color w:val="000000" w:themeColor="text1"/>
          <w:sz w:val="24"/>
          <w14:textFill>
            <w14:solidFill>
              <w14:schemeClr w14:val="tx1"/>
            </w14:solidFill>
          </w14:textFill>
        </w:rPr>
        <w:t>名</w:t>
      </w:r>
      <w:r>
        <w:rPr>
          <w:rFonts w:eastAsia="仿宋"/>
          <w:color w:val="000000" w:themeColor="text1"/>
          <w:sz w:val="24"/>
          <w14:textFill>
            <w14:solidFill>
              <w14:schemeClr w14:val="tx1"/>
            </w14:solidFill>
          </w14:textFill>
        </w:rPr>
        <w:t>【】名。</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【说明：国有全资公司的外部董事人选由</w:t>
      </w:r>
      <w:r>
        <w:rPr>
          <w:rFonts w:hint="eastAsia" w:eastAsia="仿宋"/>
          <w:b/>
          <w:color w:val="000000" w:themeColor="text1"/>
          <w:sz w:val="24"/>
          <w:lang w:eastAsia="zh-CN"/>
          <w14:textFill>
            <w14:solidFill>
              <w14:schemeClr w14:val="tx1"/>
            </w14:solidFill>
          </w14:textFill>
        </w:rPr>
        <w:t>市国资委</w:t>
      </w:r>
      <w:r>
        <w:rPr>
          <w:rFonts w:hint="eastAsia" w:eastAsia="仿宋"/>
          <w:b/>
          <w:color w:val="000000" w:themeColor="text1"/>
          <w:sz w:val="24"/>
          <w14:textFill>
            <w14:solidFill>
              <w14:schemeClr w14:val="tx1"/>
            </w14:solidFill>
          </w14:textFill>
        </w:rPr>
        <w:t>推荐，由股东会选举或更换；国有控股公司应当有一定比例的外部董事，由股东会选举或更换</w:t>
      </w:r>
      <w:r>
        <w:rPr>
          <w:rFonts w:hint="eastAsia" w:eastAsia="仿宋"/>
          <w:b/>
          <w:color w:val="000000" w:themeColor="text1"/>
          <w:sz w:val="24"/>
          <w:lang w:eastAsia="zh-CN"/>
          <w14:textFill>
            <w14:solidFill>
              <w14:schemeClr w14:val="tx1"/>
            </w14:solidFill>
          </w14:textFill>
        </w:rPr>
        <w:t>，其中国有股东提名的外部董事由市国资委</w:t>
      </w:r>
      <w:r>
        <w:rPr>
          <w:rFonts w:hint="eastAsia" w:eastAsia="仿宋"/>
          <w:b/>
          <w:color w:val="000000" w:themeColor="text1"/>
          <w:sz w:val="24"/>
          <w14:textFill>
            <w14:solidFill>
              <w14:schemeClr w14:val="tx1"/>
            </w14:solidFill>
          </w14:textFill>
        </w:rPr>
        <w:t>推荐】</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职工代表担任的董事，由工会根据自荐、推荐情况，在充分听取职工意见的基础上提名，经党委审核后，由职工代表大会或者职工大会以无记名投票方式选举产生。</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[董事的任期]</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董事每届任期为三年，获得连续委派或者连续当选可以连任。外部董事的任期根据有关</w:t>
      </w:r>
      <w:r>
        <w:rPr>
          <w:rFonts w:hAnsi="仿宋" w:eastAsia="仿宋"/>
          <w:color w:val="000000" w:themeColor="text1"/>
          <w:sz w:val="24"/>
          <w14:textFill>
            <w14:solidFill>
              <w14:schemeClr w14:val="tx1"/>
            </w14:solidFill>
          </w14:textFill>
        </w:rPr>
        <w:t>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w:t>
      </w:r>
      <w:r>
        <w:rPr>
          <w:rFonts w:eastAsia="仿宋"/>
          <w:color w:val="000000" w:themeColor="text1"/>
          <w:sz w:val="24"/>
          <w14:textFill>
            <w14:solidFill>
              <w14:schemeClr w14:val="tx1"/>
            </w14:solidFill>
          </w14:textFill>
        </w:rPr>
        <w:t>的规定执行。</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董事任期届满未及时委派或改选，或者董事在任期内辞职导致董事会成员低于法定人数的，在另行委派或改选出的董事就任前，原董事仍应当依照</w:t>
      </w:r>
      <w:r>
        <w:rPr>
          <w:rFonts w:hAnsi="仿宋" w:eastAsia="仿宋"/>
          <w:color w:val="000000" w:themeColor="text1"/>
          <w:sz w:val="24"/>
          <w14:textFill>
            <w14:solidFill>
              <w14:schemeClr w14:val="tx1"/>
            </w14:solidFill>
          </w14:textFill>
        </w:rPr>
        <w:t>法律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w:t>
      </w:r>
      <w:r>
        <w:rPr>
          <w:rFonts w:hint="eastAsia" w:eastAsia="仿宋"/>
          <w:color w:val="000000" w:themeColor="text1"/>
          <w:sz w:val="24"/>
          <w14:textFill>
            <w14:solidFill>
              <w14:schemeClr w14:val="tx1"/>
            </w14:solidFill>
          </w14:textFill>
        </w:rPr>
        <w:t>以及</w:t>
      </w:r>
      <w:r>
        <w:rPr>
          <w:rFonts w:eastAsia="仿宋"/>
          <w:color w:val="000000" w:themeColor="text1"/>
          <w:sz w:val="24"/>
          <w14:textFill>
            <w14:solidFill>
              <w14:schemeClr w14:val="tx1"/>
            </w14:solidFill>
          </w14:textFill>
        </w:rPr>
        <w:t>本章程的规定，履行董事职务。</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 xml:space="preserve">[董事的任职要求]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董事应具有与董事职位相适合的教育背景，应具有在公司主要业务领域的经营或行业管理经验，或具有财务、法律等专业技能。</w:t>
      </w:r>
      <w:r>
        <w:rPr>
          <w:rFonts w:eastAsia="仿宋"/>
          <w:color w:val="000000" w:themeColor="text1"/>
          <w:sz w:val="24"/>
          <w14:textFill>
            <w14:solidFill>
              <w14:schemeClr w14:val="tx1"/>
            </w14:solidFill>
          </w14:textFill>
        </w:rPr>
        <w:br w:type="textWrapping"/>
      </w:r>
    </w:p>
    <w:p>
      <w:pPr>
        <w:numPr>
          <w:ilvl w:val="0"/>
          <w:numId w:val="2"/>
        </w:numPr>
        <w:tabs>
          <w:tab w:val="left" w:pos="1620"/>
        </w:tabs>
        <w:spacing w:before="249" w:beforeLines="80" w:after="249" w:afterLines="80" w:line="440" w:lineRule="exact"/>
        <w:ind w:left="0" w:firstLine="540"/>
        <w:rPr>
          <w:rFonts w:eastAsia="仿宋"/>
          <w:b/>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[董事长及职权]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董事会设董事长一名，</w:t>
      </w:r>
      <w:r>
        <w:rPr>
          <w:rFonts w:hint="eastAsia" w:eastAsia="仿宋"/>
          <w:color w:val="000000" w:themeColor="text1"/>
          <w:sz w:val="24"/>
          <w14:textFill>
            <w14:solidFill>
              <w14:schemeClr w14:val="tx1"/>
            </w14:solidFill>
          </w14:textFill>
        </w:rPr>
        <w:t>董事长由市国资委</w:t>
      </w:r>
      <w:r>
        <w:rPr>
          <w:rFonts w:eastAsia="仿宋"/>
          <w:color w:val="000000" w:themeColor="text1"/>
          <w:sz w:val="24"/>
          <w14:textFill>
            <w14:solidFill>
              <w14:schemeClr w14:val="tx1"/>
            </w14:solidFill>
          </w14:textFill>
        </w:rPr>
        <w:t>推荐，并经董事会选举产生</w:t>
      </w:r>
      <w:r>
        <w:rPr>
          <w:rFonts w:hint="eastAsia" w:eastAsia="仿宋"/>
          <w:color w:val="000000" w:themeColor="text1"/>
          <w:sz w:val="24"/>
          <w14:textFill>
            <w14:solidFill>
              <w14:schemeClr w14:val="tx1"/>
            </w14:solidFill>
          </w14:textFill>
        </w:rPr>
        <w:t>。公司可以根据实际情况设副董事长。</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董事长行使以下职权：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w:t>
      </w:r>
      <w:r>
        <w:rPr>
          <w:rFonts w:hint="eastAsia" w:eastAsia="仿宋"/>
          <w:color w:val="000000" w:themeColor="text1"/>
          <w:sz w:val="24"/>
          <w14:textFill>
            <w14:solidFill>
              <w14:schemeClr w14:val="tx1"/>
            </w14:solidFill>
          </w14:textFill>
        </w:rPr>
        <w:t>主持股东会会议和</w:t>
      </w:r>
      <w:r>
        <w:rPr>
          <w:rFonts w:eastAsia="仿宋"/>
          <w:color w:val="000000" w:themeColor="text1"/>
          <w:sz w:val="24"/>
          <w14:textFill>
            <w14:solidFill>
              <w14:schemeClr w14:val="tx1"/>
            </w14:solidFill>
          </w14:textFill>
        </w:rPr>
        <w:t>召集</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主持董事会会议；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w:t>
      </w:r>
      <w:r>
        <w:rPr>
          <w:rFonts w:hint="eastAsia" w:eastAsia="仿宋"/>
          <w:color w:val="000000" w:themeColor="text1"/>
          <w:sz w:val="24"/>
          <w14:textFill>
            <w14:solidFill>
              <w14:schemeClr w14:val="tx1"/>
            </w14:solidFill>
          </w14:textFill>
        </w:rPr>
        <w:t>督促、检查董事会会议决议的执行情况；</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w:t>
      </w:r>
      <w:r>
        <w:rPr>
          <w:rFonts w:hint="eastAsia" w:eastAsia="仿宋"/>
          <w:color w:val="000000" w:themeColor="text1"/>
          <w:sz w:val="24"/>
          <w14:textFill>
            <w14:solidFill>
              <w14:schemeClr w14:val="tx1"/>
            </w14:solidFill>
          </w14:textFill>
        </w:rPr>
        <w:t>签署董事会重要文件和其他应由公司法定代表人签署的文件；</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（四）根据董事会的职责确定董事会会议议题，对拟提交董事会讨论的有关议案进行初步审核，并决定是否提交董事会讨论；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（五）召集并主持董事会会议，执行董事会工作规则的规定，使每位董事能够充分发表个人意见，在充分讨论的基础上进行表决；</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lang w:eastAsia="zh-CN"/>
          <w14:textFill>
            <w14:solidFill>
              <w14:schemeClr w14:val="tx1"/>
            </w14:solidFill>
          </w14:textFill>
        </w:rPr>
        <w:t>六</w:t>
      </w:r>
      <w:r>
        <w:rPr>
          <w:rFonts w:eastAsia="仿宋"/>
          <w:bCs/>
          <w:color w:val="000000" w:themeColor="text1"/>
          <w:sz w:val="24"/>
          <w14:textFill>
            <w14:solidFill>
              <w14:schemeClr w14:val="tx1"/>
            </w14:solidFill>
          </w14:textFill>
        </w:rPr>
        <w:t>）</w:t>
      </w:r>
      <w:bookmarkStart w:id="30" w:name="m_font_31"/>
      <w:bookmarkEnd w:id="30"/>
      <w:bookmarkStart w:id="31" w:name="m_font_33"/>
      <w:bookmarkEnd w:id="31"/>
      <w:bookmarkStart w:id="32" w:name="m_font_32"/>
      <w:bookmarkEnd w:id="32"/>
      <w:bookmarkStart w:id="33" w:name="m_font_37"/>
      <w:bookmarkEnd w:id="33"/>
      <w:bookmarkStart w:id="34" w:name="m_font_30"/>
      <w:bookmarkEnd w:id="34"/>
      <w:r>
        <w:rPr>
          <w:rFonts w:eastAsia="仿宋"/>
          <w:bCs/>
          <w:color w:val="000000" w:themeColor="text1"/>
          <w:sz w:val="24"/>
          <w14:textFill>
            <w14:solidFill>
              <w14:schemeClr w14:val="tx1"/>
            </w14:solidFill>
          </w14:textFill>
        </w:rPr>
        <w:t>负责组织制订、修订董事会工作规则、董事会各专门委员会工作规则等董事会运作的规章制度；</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lang w:eastAsia="zh-CN"/>
          <w14:textFill>
            <w14:solidFill>
              <w14:schemeClr w14:val="tx1"/>
            </w14:solidFill>
          </w14:textFill>
        </w:rPr>
        <w:t>七</w:t>
      </w:r>
      <w:r>
        <w:rPr>
          <w:rFonts w:eastAsia="仿宋"/>
          <w:bCs/>
          <w:color w:val="000000" w:themeColor="text1"/>
          <w:sz w:val="24"/>
          <w14:textFill>
            <w14:solidFill>
              <w14:schemeClr w14:val="tx1"/>
            </w14:solidFill>
          </w14:textFill>
        </w:rPr>
        <w:t>）</w:t>
      </w:r>
      <w:r>
        <w:rPr>
          <w:rFonts w:hint="eastAsia" w:eastAsia="仿宋"/>
          <w:bCs/>
          <w:color w:val="000000" w:themeColor="text1"/>
          <w:sz w:val="24"/>
          <w14:textFill>
            <w14:solidFill>
              <w14:schemeClr w14:val="tx1"/>
            </w14:solidFill>
          </w14:textFill>
        </w:rPr>
        <w:t>负责</w:t>
      </w:r>
      <w:r>
        <w:rPr>
          <w:rFonts w:eastAsia="仿宋"/>
          <w:bCs/>
          <w:color w:val="000000" w:themeColor="text1"/>
          <w:sz w:val="24"/>
          <w14:textFill>
            <w14:solidFill>
              <w14:schemeClr w14:val="tx1"/>
            </w14:solidFill>
          </w14:textFill>
        </w:rPr>
        <w:t>组织起草董事会年度工作报告</w:t>
      </w:r>
      <w:r>
        <w:rPr>
          <w:rFonts w:hint="eastAsia" w:eastAsia="仿宋"/>
          <w:bCs/>
          <w:color w:val="000000" w:themeColor="text1"/>
          <w:sz w:val="24"/>
          <w14:textFill>
            <w14:solidFill>
              <w14:schemeClr w14:val="tx1"/>
            </w14:solidFill>
          </w14:textFill>
        </w:rPr>
        <w:t>，提交董事会审议，代表董事会向股东会报告年度工作；</w:t>
      </w:r>
      <w:r>
        <w:rPr>
          <w:rFonts w:eastAsia="仿宋"/>
          <w:bCs/>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lang w:eastAsia="zh-CN"/>
          <w14:textFill>
            <w14:solidFill>
              <w14:schemeClr w14:val="tx1"/>
            </w14:solidFill>
          </w14:textFill>
        </w:rPr>
        <w:t>八</w:t>
      </w:r>
      <w:r>
        <w:rPr>
          <w:rFonts w:eastAsia="仿宋"/>
          <w:bCs/>
          <w:color w:val="000000" w:themeColor="text1"/>
          <w:sz w:val="24"/>
          <w14:textFill>
            <w14:solidFill>
              <w14:schemeClr w14:val="tx1"/>
            </w14:solidFill>
          </w14:textFill>
        </w:rPr>
        <w:t>）与外部董事进行会议之外的沟通，听取外部董事的意见，并组织外部董事进行必要的工作调研和业务培训；</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lang w:eastAsia="zh-CN"/>
          <w14:textFill>
            <w14:solidFill>
              <w14:schemeClr w14:val="tx1"/>
            </w14:solidFill>
          </w14:textFill>
        </w:rPr>
        <w:t>九</w:t>
      </w:r>
      <w:r>
        <w:rPr>
          <w:rFonts w:eastAsia="仿宋"/>
          <w:bCs/>
          <w:color w:val="000000" w:themeColor="text1"/>
          <w:sz w:val="24"/>
          <w14:textFill>
            <w14:solidFill>
              <w14:schemeClr w14:val="tx1"/>
            </w14:solidFill>
          </w14:textFill>
        </w:rPr>
        <w:t>）在发生</w:t>
      </w:r>
      <w:r>
        <w:rPr>
          <w:rFonts w:hint="eastAsia" w:eastAsia="仿宋"/>
          <w:bCs/>
          <w:color w:val="000000" w:themeColor="text1"/>
          <w:sz w:val="24"/>
          <w14:textFill>
            <w14:solidFill>
              <w14:schemeClr w14:val="tx1"/>
            </w14:solidFill>
          </w14:textFill>
        </w:rPr>
        <w:t>特大自然灾害等</w:t>
      </w:r>
      <w:r>
        <w:rPr>
          <w:rFonts w:eastAsia="仿宋"/>
          <w:bCs/>
          <w:color w:val="000000" w:themeColor="text1"/>
          <w:sz w:val="24"/>
          <w14:textFill>
            <w14:solidFill>
              <w14:schemeClr w14:val="tx1"/>
            </w14:solidFill>
          </w14:textFill>
        </w:rPr>
        <w:t>不可抗力</w:t>
      </w:r>
      <w:r>
        <w:rPr>
          <w:rFonts w:hint="eastAsia" w:eastAsia="仿宋"/>
          <w:bCs/>
          <w:color w:val="000000" w:themeColor="text1"/>
          <w:sz w:val="24"/>
          <w14:textFill>
            <w14:solidFill>
              <w14:schemeClr w14:val="tx1"/>
            </w14:solidFill>
          </w14:textFill>
        </w:rPr>
        <w:t>的紧急情况下，</w:t>
      </w:r>
      <w:r>
        <w:rPr>
          <w:rFonts w:eastAsia="仿宋"/>
          <w:bCs/>
          <w:color w:val="000000" w:themeColor="text1"/>
          <w:sz w:val="24"/>
          <w14:textFill>
            <w14:solidFill>
              <w14:schemeClr w14:val="tx1"/>
            </w14:solidFill>
          </w14:textFill>
        </w:rPr>
        <w:t>对公司事务行使符合法律</w:t>
      </w:r>
      <w:r>
        <w:rPr>
          <w:rFonts w:hint="eastAsia" w:eastAsia="仿宋"/>
          <w:bCs/>
          <w:color w:val="000000" w:themeColor="text1"/>
          <w:sz w:val="24"/>
          <w14:textFill>
            <w14:solidFill>
              <w14:schemeClr w14:val="tx1"/>
            </w14:solidFill>
          </w14:textFill>
        </w:rPr>
        <w:t>规定</w:t>
      </w:r>
      <w:r>
        <w:rPr>
          <w:rFonts w:eastAsia="仿宋"/>
          <w:bCs/>
          <w:color w:val="000000" w:themeColor="text1"/>
          <w:sz w:val="24"/>
          <w14:textFill>
            <w14:solidFill>
              <w14:schemeClr w14:val="tx1"/>
            </w14:solidFill>
          </w14:textFill>
        </w:rPr>
        <w:t>和公司利益的特别处置权，并在事后</w:t>
      </w:r>
      <w:r>
        <w:rPr>
          <w:rFonts w:hint="eastAsia" w:eastAsia="仿宋"/>
          <w:bCs/>
          <w:color w:val="000000" w:themeColor="text1"/>
          <w:sz w:val="24"/>
          <w14:textFill>
            <w14:solidFill>
              <w14:schemeClr w14:val="tx1"/>
            </w14:solidFill>
          </w14:textFill>
        </w:rPr>
        <w:t>及时</w:t>
      </w:r>
      <w:r>
        <w:rPr>
          <w:rFonts w:eastAsia="仿宋"/>
          <w:bCs/>
          <w:color w:val="000000" w:themeColor="text1"/>
          <w:sz w:val="24"/>
          <w14:textFill>
            <w14:solidFill>
              <w14:schemeClr w14:val="tx1"/>
            </w14:solidFill>
          </w14:textFill>
        </w:rPr>
        <w:t>向董事会报告；</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lang w:eastAsia="zh-CN"/>
          <w14:textFill>
            <w14:solidFill>
              <w14:schemeClr w14:val="tx1"/>
            </w14:solidFill>
          </w14:textFill>
        </w:rPr>
        <w:t>十</w:t>
      </w:r>
      <w:bookmarkStart w:id="69" w:name="_GoBack"/>
      <w:bookmarkEnd w:id="69"/>
      <w:r>
        <w:rPr>
          <w:rFonts w:eastAsia="仿宋"/>
          <w:bCs/>
          <w:color w:val="000000" w:themeColor="text1"/>
          <w:sz w:val="24"/>
          <w14:textFill>
            <w14:solidFill>
              <w14:schemeClr w14:val="tx1"/>
            </w14:solidFill>
          </w14:textFill>
        </w:rPr>
        <w:t>）法律</w:t>
      </w:r>
      <w:r>
        <w:rPr>
          <w:rFonts w:hint="eastAsia" w:eastAsia="仿宋"/>
          <w:bCs/>
          <w:color w:val="000000" w:themeColor="text1"/>
          <w:sz w:val="24"/>
          <w14:textFill>
            <w14:solidFill>
              <w14:schemeClr w14:val="tx1"/>
            </w14:solidFill>
          </w14:textFill>
        </w:rPr>
        <w:t>、</w:t>
      </w:r>
      <w:r>
        <w:rPr>
          <w:rFonts w:eastAsia="仿宋"/>
          <w:bCs/>
          <w:color w:val="000000" w:themeColor="text1"/>
          <w:sz w:val="24"/>
          <w14:textFill>
            <w14:solidFill>
              <w14:schemeClr w14:val="tx1"/>
            </w14:solidFill>
          </w14:textFill>
        </w:rPr>
        <w:t>法规</w:t>
      </w:r>
      <w:r>
        <w:rPr>
          <w:rFonts w:hint="eastAsia" w:eastAsia="仿宋"/>
          <w:bCs/>
          <w:color w:val="000000" w:themeColor="text1"/>
          <w:sz w:val="24"/>
          <w14:textFill>
            <w14:solidFill>
              <w14:schemeClr w14:val="tx1"/>
            </w14:solidFill>
          </w14:textFill>
        </w:rPr>
        <w:t>、规章、规范性文件以及</w:t>
      </w:r>
      <w:r>
        <w:rPr>
          <w:rFonts w:eastAsia="仿宋"/>
          <w:bCs/>
          <w:color w:val="000000" w:themeColor="text1"/>
          <w:sz w:val="24"/>
          <w14:textFill>
            <w14:solidFill>
              <w14:schemeClr w14:val="tx1"/>
            </w14:solidFill>
          </w14:textFill>
        </w:rPr>
        <w:t>本章程规定的其他职权。</w:t>
      </w:r>
      <w:r>
        <w:rPr>
          <w:rFonts w:eastAsia="仿宋"/>
          <w:bCs/>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【说明：公司可以根据实际情况，对董事长职权进行调整】</w:t>
      </w:r>
      <w:r>
        <w:rPr>
          <w:rFonts w:eastAsia="仿宋"/>
          <w:bCs/>
          <w:color w:val="000000" w:themeColor="text1"/>
          <w:sz w:val="24"/>
          <w14:textFill>
            <w14:solidFill>
              <w14:schemeClr w14:val="tx1"/>
            </w14:solidFill>
          </w14:textFill>
        </w:rPr>
        <w:br w:type="textWrapping"/>
      </w:r>
    </w:p>
    <w:p>
      <w:pPr>
        <w:numPr>
          <w:ilvl w:val="0"/>
          <w:numId w:val="2"/>
        </w:numPr>
        <w:tabs>
          <w:tab w:val="left" w:pos="1620"/>
        </w:tabs>
        <w:autoSpaceDE w:val="0"/>
        <w:spacing w:before="249" w:beforeLines="80" w:after="249" w:afterLines="80" w:line="440" w:lineRule="exact"/>
        <w:ind w:left="0" w:firstLine="482" w:firstLineChars="200"/>
        <w:rPr>
          <w:rFonts w:eastAsia="仿宋"/>
          <w:b/>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r>
        <w:rPr>
          <w:rFonts w:hint="eastAsia" w:eastAsia="仿宋"/>
          <w:b/>
          <w:bCs/>
          <w:color w:val="000000" w:themeColor="text1"/>
          <w:sz w:val="24"/>
          <w14:textFill>
            <w14:solidFill>
              <w14:schemeClr w14:val="tx1"/>
            </w14:solidFill>
          </w14:textFill>
        </w:rPr>
        <w:t>董事会的职权</w:t>
      </w:r>
      <w:r>
        <w:rPr>
          <w:rFonts w:eastAsia="仿宋"/>
          <w:b/>
          <w:bCs/>
          <w:color w:val="000000" w:themeColor="text1"/>
          <w:sz w:val="24"/>
          <w14:textFill>
            <w14:solidFill>
              <w14:schemeClr w14:val="tx1"/>
            </w14:solidFill>
          </w14:textFill>
        </w:rPr>
        <w:t>]</w:t>
      </w:r>
      <w:r>
        <w:rPr>
          <w:rFonts w:eastAsia="仿宋"/>
          <w:b/>
          <w:bCs/>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董事会对股东会负责，行使以下职权：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（一）负责</w:t>
      </w:r>
      <w:r>
        <w:rPr>
          <w:rFonts w:hint="eastAsia" w:ascii="仿宋" w:hAnsi="仿宋" w:eastAsia="仿宋"/>
          <w:color w:val="000000" w:themeColor="text1"/>
          <w:sz w:val="24"/>
          <w14:textFill>
            <w14:solidFill>
              <w14:schemeClr w14:val="tx1"/>
            </w14:solidFill>
          </w14:textFill>
        </w:rPr>
        <w:t>召集股东会，并向股东会报告工作；</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（二）执行股东会的决议；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（三）制订公司战略和发展规划；</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（四）制订公司的年度财务预算、决算方案；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（五）制订公司经营方针和投资计划；</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（六）制订公司的利润分配方案和弥补亏损方案；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（七）制订公司章程草案和公司章程的修改方案；</w:t>
      </w:r>
      <w:r>
        <w:rPr>
          <w:rFonts w:eastAsia="仿宋"/>
          <w:color w:val="000000" w:themeColor="text1"/>
          <w:sz w:val="24"/>
          <w14:textFill>
            <w14:solidFill>
              <w14:schemeClr w14:val="tx1"/>
            </w14:solidFill>
          </w14:textFill>
        </w:rPr>
        <w:br w:type="textWrapping"/>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（八）制订公司增加或者减少注册资本以及发行公司债券（或其他具有债券性质的证券）的方案；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（九）制订公司合并、分立、变更公司形式、申请破产、解散、清算的方案；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根据市国资委相关投资监督管理办法规定，确定应由董事会决定的对外投资、融资事项额度，批准对经理层授权额度以上的对外投资、资产处置以及融资事项，并批准股东会规定限额以下的资产处置；制定投资管理制度并报送市国资委；制定重大投资及境外投资方案，经董事会决议后由公司按季度汇总后报送市国资委备案；</w:t>
      </w:r>
      <w:r>
        <w:rPr>
          <w:rFonts w:eastAsia="仿宋"/>
          <w:color w:val="000000" w:themeColor="text1"/>
          <w:sz w:val="24"/>
          <w14:textFill>
            <w14:solidFill>
              <w14:schemeClr w14:val="tx1"/>
            </w14:solidFill>
          </w14:textFill>
        </w:rPr>
        <w:br w:type="textWrapping"/>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（十一）确定对公司所投资企业重大事项的管理原则；决定分公司、子公司等分支机构的设立或者撤销；</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（十二）</w:t>
      </w:r>
      <w:r>
        <w:rPr>
          <w:rFonts w:hint="eastAsia" w:eastAsia="仿宋"/>
          <w:color w:val="000000" w:themeColor="text1"/>
          <w:sz w:val="24"/>
          <w14:textFill>
            <w14:solidFill>
              <w14:schemeClr w14:val="tx1"/>
            </w14:solidFill>
          </w14:textFill>
        </w:rPr>
        <w:t>决定公司内部管理机构的设置；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（十三）决定聘任或者解聘公司总裁（总经理）及其报酬事项，并根据总裁（总经理）的提名决定聘任或者解聘公司高级管理人员及其报酬事项，并对高级管理人员进行检查和考核；</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（十四）制订、调整公司的重大收入分配方案，包括公司工资总额预算与清算方案等，批准公司职工收入分配方案、公司年金方案</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对工资分配决议执行情况进行监督；</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（十五）批准除股东会职权以外一定金额以上的公司对外担保，决定具体金额标准；前</w:t>
      </w:r>
      <w:r>
        <w:rPr>
          <w:rFonts w:hint="eastAsia" w:eastAsia="仿宋"/>
          <w:bCs/>
          <w:color w:val="000000" w:themeColor="text1"/>
          <w:sz w:val="24"/>
          <w14:textFill>
            <w14:solidFill>
              <w14:schemeClr w14:val="tx1"/>
            </w14:solidFill>
          </w14:textFill>
        </w:rPr>
        <w:t>述担保事项包括：批准公司本项规定金额范围的保证、抵押、质押等对外担保方案；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（十六）批准对外捐赠或者赞助方案，决定具体金额标准；</w:t>
      </w:r>
      <w:r>
        <w:rPr>
          <w:rFonts w:eastAsia="仿宋"/>
          <w:color w:val="000000" w:themeColor="text1"/>
          <w:sz w:val="24"/>
          <w14:textFill>
            <w14:solidFill>
              <w14:schemeClr w14:val="tx1"/>
            </w14:solidFill>
          </w14:textFill>
        </w:rPr>
        <w:br w:type="textWrapping"/>
      </w:r>
      <w:r>
        <w:rPr>
          <w:rFonts w:hint="eastAsia" w:eastAsia="仿宋"/>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（十七）</w:t>
      </w:r>
      <w:r>
        <w:rPr>
          <w:rFonts w:hint="eastAsia" w:eastAsia="仿宋"/>
          <w:color w:val="000000" w:themeColor="text1"/>
          <w:sz w:val="24"/>
          <w14:textFill>
            <w14:solidFill>
              <w14:schemeClr w14:val="tx1"/>
            </w14:solidFill>
          </w14:textFill>
        </w:rPr>
        <w:t>决定公司的风险管理体系、内部控制体系、违规经营投资责任追究工作体系、法律合规管理体系；对公司风险管理、内部控制和法律合规管理制度及其有效实施进行总体监控和评价；</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（十八）制订董事会年度工作报告；</w:t>
      </w:r>
      <w:r>
        <w:rPr>
          <w:rFonts w:eastAsia="仿宋"/>
          <w:color w:val="000000" w:themeColor="text1"/>
          <w:sz w:val="24"/>
          <w14:textFill>
            <w14:solidFill>
              <w14:schemeClr w14:val="tx1"/>
            </w14:solidFill>
          </w14:textFill>
        </w:rPr>
        <w:br w:type="textWrapping"/>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（十九）制定公司的基本管理制度以及董事会认为重要的公司其他规章制度；</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（二十）股东会依据法律、法规、规章、规范性文件以及本章程规定或授予的职权</w:t>
      </w:r>
      <w:r>
        <w:rPr>
          <w:rFonts w:hint="eastAsia" w:eastAsia="仿宋"/>
          <w:color w:val="000000" w:themeColor="text1"/>
          <w:kern w:val="0"/>
          <w:sz w:val="24"/>
          <w14:textFill>
            <w14:solidFill>
              <w14:schemeClr w14:val="tx1"/>
            </w14:solidFill>
          </w14:textFill>
        </w:rPr>
        <w:t>。</w:t>
      </w:r>
      <w:r>
        <w:rPr>
          <w:rFonts w:eastAsia="仿宋"/>
          <w:color w:val="000000" w:themeColor="text1"/>
          <w:kern w:val="0"/>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董事会决定重大经营管理事项，应事先听取公司党委的意见。</w:t>
      </w:r>
    </w:p>
    <w:p>
      <w:pPr>
        <w:numPr>
          <w:ilvl w:val="-1"/>
          <w:numId w:val="0"/>
        </w:numPr>
        <w:tabs>
          <w:tab w:val="left" w:pos="1620"/>
        </w:tabs>
        <w:autoSpaceDE w:val="0"/>
        <w:spacing w:before="249" w:beforeLines="80" w:after="249" w:afterLines="80" w:line="440" w:lineRule="exact"/>
        <w:ind w:left="420" w:leftChars="200" w:firstLine="0" w:firstLineChars="0"/>
        <w:rPr>
          <w:rFonts w:eastAsia="仿宋"/>
          <w:b/>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【说明：公司可以根据实际情况，对董事</w:t>
      </w:r>
      <w:r>
        <w:rPr>
          <w:rFonts w:hint="eastAsia" w:eastAsia="仿宋"/>
          <w:b/>
          <w:color w:val="000000" w:themeColor="text1"/>
          <w:sz w:val="24"/>
          <w:lang w:eastAsia="zh-CN"/>
          <w14:textFill>
            <w14:solidFill>
              <w14:schemeClr w14:val="tx1"/>
            </w14:solidFill>
          </w14:textFill>
        </w:rPr>
        <w:t>会</w:t>
      </w:r>
      <w:r>
        <w:rPr>
          <w:rFonts w:hint="eastAsia" w:eastAsia="仿宋"/>
          <w:b/>
          <w:color w:val="000000" w:themeColor="text1"/>
          <w:sz w:val="24"/>
          <w14:textFill>
            <w14:solidFill>
              <w14:schemeClr w14:val="tx1"/>
            </w14:solidFill>
          </w14:textFill>
        </w:rPr>
        <w:t>职权进行调整</w:t>
      </w:r>
      <w:r>
        <w:rPr>
          <w:rFonts w:hint="eastAsia" w:eastAsia="仿宋"/>
          <w:b/>
          <w:color w:val="000000" w:themeColor="text1"/>
          <w:sz w:val="24"/>
          <w:lang w:eastAsia="zh-CN"/>
          <w14:textFill>
            <w14:solidFill>
              <w14:schemeClr w14:val="tx1"/>
            </w14:solidFill>
          </w14:textFill>
        </w:rPr>
        <w:t>。</w:t>
      </w:r>
      <w:r>
        <w:rPr>
          <w:rFonts w:hint="eastAsia" w:eastAsia="仿宋"/>
          <w:b/>
          <w:color w:val="000000" w:themeColor="text1"/>
          <w:sz w:val="24"/>
          <w14:textFill>
            <w14:solidFill>
              <w14:schemeClr w14:val="tx1"/>
            </w14:solidFill>
          </w14:textFill>
        </w:rPr>
        <w:t>】</w:t>
      </w:r>
      <w:r>
        <w:rPr>
          <w:rFonts w:eastAsia="仿宋"/>
          <w:color w:val="000000" w:themeColor="text1"/>
          <w:kern w:val="0"/>
          <w:sz w:val="24"/>
          <w14:textFill>
            <w14:solidFill>
              <w14:schemeClr w14:val="tx1"/>
            </w14:solidFill>
          </w14:textFill>
        </w:rPr>
        <w:t xml:space="preserve"> </w:t>
      </w:r>
      <w:r>
        <w:rPr>
          <w:rFonts w:eastAsia="仿宋"/>
          <w:color w:val="000000" w:themeColor="text1"/>
          <w:kern w:val="0"/>
          <w:sz w:val="24"/>
          <w14:textFill>
            <w14:solidFill>
              <w14:schemeClr w14:val="tx1"/>
            </w14:solidFill>
          </w14:textFill>
        </w:rPr>
        <w:br w:type="textWrapping"/>
      </w:r>
    </w:p>
    <w:p>
      <w:pPr>
        <w:numPr>
          <w:ilvl w:val="0"/>
          <w:numId w:val="2"/>
        </w:numPr>
        <w:tabs>
          <w:tab w:val="left" w:pos="1620"/>
        </w:tabs>
        <w:spacing w:before="312" w:beforeLines="100" w:after="312" w:afterLines="100" w:line="440" w:lineRule="exact"/>
        <w:ind w:left="0" w:firstLine="482" w:firstLineChars="200"/>
        <w:rPr>
          <w:rFonts w:eastAsia="仿宋"/>
          <w:b/>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[对外投资与经营方针的匹配、风险投资控制]</w:t>
      </w:r>
      <w:r>
        <w:rPr>
          <w:rFonts w:eastAsia="仿宋"/>
          <w:b/>
          <w:bCs/>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在决定对外投资时，董事会应注意具体对外投资事项是否符合公司经营方针，如不符合，董事会应将具体对外投资事项提交股东会决定。</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公司在</w:t>
      </w:r>
      <w:r>
        <w:rPr>
          <w:rFonts w:hAnsi="仿宋" w:eastAsia="仿宋"/>
          <w:color w:val="000000" w:themeColor="text1"/>
          <w:sz w:val="24"/>
          <w14:textFill>
            <w14:solidFill>
              <w14:schemeClr w14:val="tx1"/>
            </w14:solidFill>
          </w14:textFill>
        </w:rPr>
        <w:t>国家</w:t>
      </w:r>
      <w:r>
        <w:rPr>
          <w:rFonts w:hint="eastAsia" w:hAnsi="仿宋" w:eastAsia="仿宋"/>
          <w:color w:val="000000" w:themeColor="text1"/>
          <w:sz w:val="24"/>
          <w14:textFill>
            <w14:solidFill>
              <w14:schemeClr w14:val="tx1"/>
            </w14:solidFill>
          </w14:textFill>
        </w:rPr>
        <w:t>法律、</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、规章、规范性文件以及本章程</w:t>
      </w:r>
      <w:r>
        <w:rPr>
          <w:rFonts w:hint="eastAsia" w:eastAsia="仿宋"/>
          <w:color w:val="000000" w:themeColor="text1"/>
          <w:sz w:val="24"/>
          <w14:textFill>
            <w14:solidFill>
              <w14:schemeClr w14:val="tx1"/>
            </w14:solidFill>
          </w14:textFill>
        </w:rPr>
        <w:t>规定范围之内从事的风险投资业务，应当根据市国资委的有关规范性文件与工作指引建立规范的决策机制、授权审批、联签责任制度、定期报告、定期内审、风险预警等制度，建立科学经营决策和风险损失处理预案等，以及严格的责任追究制度，完善风险投资的决策与监督管理体系。</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公司必须区分主业与非主业投资，投资活动须坚持战略引领、聚焦主业，年度非主业投资规模原则上不超过年度投资总额的</w:t>
      </w:r>
      <w:r>
        <w:rPr>
          <w:rFonts w:eastAsia="仿宋"/>
          <w:color w:val="000000" w:themeColor="text1"/>
          <w:sz w:val="24"/>
          <w14:textFill>
            <w14:solidFill>
              <w14:schemeClr w14:val="tx1"/>
            </w14:solidFill>
          </w14:textFill>
        </w:rPr>
        <w:t>5%</w:t>
      </w:r>
      <w:r>
        <w:rPr>
          <w:rFonts w:hint="eastAsia" w:eastAsia="仿宋"/>
          <w:color w:val="000000" w:themeColor="text1"/>
          <w:sz w:val="24"/>
          <w14:textFill>
            <w14:solidFill>
              <w14:schemeClr w14:val="tx1"/>
            </w14:solidFill>
          </w14:textFill>
        </w:rPr>
        <w:t>，有</w:t>
      </w:r>
      <w:bookmarkStart w:id="35" w:name="OLE_LINK11"/>
      <w:bookmarkStart w:id="36" w:name="OLE_LINK12"/>
      <w:r>
        <w:rPr>
          <w:rFonts w:hint="eastAsia" w:eastAsia="仿宋"/>
          <w:color w:val="000000" w:themeColor="text1"/>
          <w:sz w:val="24"/>
          <w14:textFill>
            <w14:solidFill>
              <w14:schemeClr w14:val="tx1"/>
            </w14:solidFill>
          </w14:textFill>
        </w:rPr>
        <w:t>特殊原因</w:t>
      </w:r>
      <w:bookmarkEnd w:id="35"/>
      <w:bookmarkEnd w:id="36"/>
      <w:r>
        <w:rPr>
          <w:rFonts w:hint="eastAsia" w:eastAsia="仿宋"/>
          <w:color w:val="000000" w:themeColor="text1"/>
          <w:sz w:val="24"/>
          <w14:textFill>
            <w14:solidFill>
              <w14:schemeClr w14:val="tx1"/>
            </w14:solidFill>
          </w14:textFill>
        </w:rPr>
        <w:t>确需超出的，经董事会决策后报股东会决定</w:t>
      </w:r>
      <w:r>
        <w:rPr>
          <w:rFonts w:eastAsia="仿宋"/>
          <w:color w:val="000000" w:themeColor="text1"/>
          <w:sz w:val="24"/>
          <w14:textFill>
            <w14:solidFill>
              <w14:schemeClr w14:val="tx1"/>
            </w14:solidFill>
          </w14:textFill>
        </w:rPr>
        <w:t>。重大投资项目按照</w:t>
      </w:r>
      <w:r>
        <w:rPr>
          <w:rFonts w:hint="eastAsia" w:eastAsia="仿宋"/>
          <w:color w:val="000000" w:themeColor="text1"/>
          <w:sz w:val="24"/>
          <w14:textFill>
            <w14:solidFill>
              <w14:schemeClr w14:val="tx1"/>
            </w14:solidFill>
          </w14:textFill>
        </w:rPr>
        <w:t>市国资委相关规定履行报备手续。</w:t>
      </w:r>
      <w:r>
        <w:rPr>
          <w:rFonts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【说明：各公司可以根据公司自身情况，确定非主业投资的限额标准】</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42" w:firstLineChars="225"/>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[董事会不得越权]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董事会应在</w:t>
      </w:r>
      <w:r>
        <w:rPr>
          <w:rFonts w:hint="eastAsia" w:hAnsi="仿宋" w:eastAsia="仿宋"/>
          <w:color w:val="000000" w:themeColor="text1"/>
          <w:sz w:val="24"/>
          <w14:textFill>
            <w14:solidFill>
              <w14:schemeClr w14:val="tx1"/>
            </w14:solidFill>
          </w14:textFill>
        </w:rPr>
        <w:t>法律、法规、规章、规范性文件以及本</w:t>
      </w:r>
      <w:r>
        <w:rPr>
          <w:rFonts w:eastAsia="仿宋"/>
          <w:color w:val="000000" w:themeColor="text1"/>
          <w:sz w:val="24"/>
          <w14:textFill>
            <w14:solidFill>
              <w14:schemeClr w14:val="tx1"/>
            </w14:solidFill>
          </w14:textFill>
        </w:rPr>
        <w:t>章</w:t>
      </w:r>
      <w:r>
        <w:rPr>
          <w:rFonts w:hint="eastAsia" w:eastAsia="仿宋"/>
          <w:color w:val="000000" w:themeColor="text1"/>
          <w:sz w:val="24"/>
          <w14:textFill>
            <w14:solidFill>
              <w14:schemeClr w14:val="tx1"/>
            </w14:solidFill>
          </w14:textFill>
        </w:rPr>
        <w:t>程</w:t>
      </w:r>
      <w:r>
        <w:rPr>
          <w:rFonts w:eastAsia="仿宋"/>
          <w:color w:val="000000" w:themeColor="text1"/>
          <w:sz w:val="24"/>
          <w14:textFill>
            <w14:solidFill>
              <w14:schemeClr w14:val="tx1"/>
            </w14:solidFill>
          </w14:textFill>
        </w:rPr>
        <w:t>及股东会另行授予的职权范围内行使职权，不得越权。</w:t>
      </w:r>
      <w:r>
        <w:rPr>
          <w:rFonts w:eastAsia="仿宋"/>
          <w:color w:val="000000" w:themeColor="text1"/>
          <w:sz w:val="24"/>
          <w14:textFill>
            <w14:solidFill>
              <w14:schemeClr w14:val="tx1"/>
            </w14:solidFill>
          </w14:textFill>
        </w:rPr>
        <w:br w:type="textWrapping"/>
      </w:r>
    </w:p>
    <w:p>
      <w:pPr>
        <w:pStyle w:val="38"/>
        <w:numPr>
          <w:ilvl w:val="0"/>
          <w:numId w:val="2"/>
        </w:numPr>
        <w:tabs>
          <w:tab w:val="left" w:pos="0"/>
          <w:tab w:val="left" w:pos="1620"/>
        </w:tabs>
        <w:spacing w:line="440" w:lineRule="exact"/>
        <w:ind w:firstLineChars="0"/>
        <w:rPr>
          <w:rFonts w:ascii="仿宋" w:hAnsi="仿宋"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r>
        <w:rPr>
          <w:rFonts w:hint="eastAsia" w:eastAsia="仿宋"/>
          <w:b/>
          <w:bCs/>
          <w:color w:val="000000" w:themeColor="text1"/>
          <w:sz w:val="24"/>
          <w14:textFill>
            <w14:solidFill>
              <w14:schemeClr w14:val="tx1"/>
            </w14:solidFill>
          </w14:textFill>
        </w:rPr>
        <w:t>董事会专门委员会</w:t>
      </w:r>
      <w:r>
        <w:rPr>
          <w:rFonts w:eastAsia="仿宋"/>
          <w:b/>
          <w:bCs/>
          <w:color w:val="000000" w:themeColor="text1"/>
          <w:sz w:val="24"/>
          <w14:textFill>
            <w14:solidFill>
              <w14:schemeClr w14:val="tx1"/>
            </w14:solidFill>
          </w14:textFill>
        </w:rPr>
        <w:t>]</w:t>
      </w:r>
      <w:r>
        <w:rPr>
          <w:rStyle w:val="32"/>
          <w:rFonts w:eastAsia="仿宋"/>
          <w:b/>
          <w:bCs/>
          <w:color w:val="000000" w:themeColor="text1"/>
          <w:sz w:val="24"/>
          <w14:textFill>
            <w14:solidFill>
              <w14:schemeClr w14:val="tx1"/>
            </w14:solidFill>
          </w14:textFill>
        </w:rPr>
        <w:t xml:space="preserve"> </w:t>
      </w:r>
    </w:p>
    <w:p>
      <w:pPr>
        <w:tabs>
          <w:tab w:val="left" w:pos="0"/>
          <w:tab w:val="left" w:pos="1620"/>
        </w:tabs>
        <w:spacing w:line="440" w:lineRule="exact"/>
        <w:ind w:left="284"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董事会设以下专门委员会作为董事会的专门工作机构，对董事会负责，为董事会决策提供意见和建议：</w:t>
      </w:r>
      <w:r>
        <w:rPr>
          <w:rFonts w:ascii="仿宋" w:hAnsi="仿宋" w:eastAsia="仿宋"/>
          <w:color w:val="000000" w:themeColor="text1"/>
          <w:sz w:val="24"/>
          <w14:textFill>
            <w14:solidFill>
              <w14:schemeClr w14:val="tx1"/>
            </w14:solidFill>
          </w14:textFill>
        </w:rPr>
        <w:br w:type="textWrapping"/>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（一）战略投资委员会，主要由董事组成，其成员不少于</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名，设主任委员一名，由董事长兼任，其他成员由董事长提出人选建议，董事会通过后生效。主要职责是对公司发展战略、中长期发展规划、投融资等重大决策事项进行研究，并向董事会提交建议。</w:t>
      </w:r>
      <w:r>
        <w:rPr>
          <w:rFonts w:ascii="仿宋" w:hAnsi="仿宋" w:eastAsia="仿宋"/>
          <w:color w:val="000000" w:themeColor="text1"/>
          <w:sz w:val="24"/>
          <w14:textFill>
            <w14:solidFill>
              <w14:schemeClr w14:val="tx1"/>
            </w14:solidFill>
          </w14:textFill>
        </w:rPr>
        <w:br w:type="textWrapping"/>
      </w:r>
      <w:r>
        <w:rPr>
          <w:rFonts w:hint="eastAsia" w:ascii="仿宋" w:hAnsi="仿宋" w:eastAsia="仿宋"/>
          <w:color w:val="000000" w:themeColor="text1"/>
          <w:sz w:val="24"/>
          <w14:textFill>
            <w14:solidFill>
              <w14:schemeClr w14:val="tx1"/>
            </w14:solidFill>
          </w14:textFill>
        </w:rPr>
        <w:t xml:space="preserve">    （二）审计与风险控制委员会，主要由董事组成，其成员不少于</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名，设主任委员一名。委员会主任委员和成员由董事长提出人选建议，董事会通过后生效。其主要职责是审核公司的财务信息及其披露，提出聘请和更换外部审计机构的建议；审查公司的内控制度、法律风险防范制度、合规制度，对企业风险管理制度及状况进行定期评估，提出完善风险管理的建议。</w:t>
      </w:r>
      <w:r>
        <w:rPr>
          <w:rFonts w:ascii="仿宋" w:hAnsi="仿宋" w:eastAsia="仿宋"/>
          <w:color w:val="000000" w:themeColor="text1"/>
          <w:sz w:val="24"/>
          <w14:textFill>
            <w14:solidFill>
              <w14:schemeClr w14:val="tx1"/>
            </w14:solidFill>
          </w14:textFill>
        </w:rPr>
        <w:br w:type="textWrapping"/>
      </w:r>
      <w:r>
        <w:rPr>
          <w:rFonts w:hint="eastAsia" w:ascii="仿宋" w:hAnsi="仿宋" w:eastAsia="仿宋"/>
          <w:color w:val="000000" w:themeColor="text1"/>
          <w:sz w:val="24"/>
          <w14:textFill>
            <w14:solidFill>
              <w14:schemeClr w14:val="tx1"/>
            </w14:solidFill>
          </w14:textFill>
        </w:rPr>
        <w:t xml:space="preserve">    （三）薪酬与考核委员会，主要由董事组成，其成员不少于</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名，设主任委员一名。委员会主任委员和成员由董事长提出人选建议，董事会通过后生效。其主要职责是研究制定经理人员的薪酬方案、业绩考核标准及考核方案，并向董事会提出考核与奖惩建议。</w:t>
      </w:r>
      <w:r>
        <w:rPr>
          <w:rFonts w:ascii="仿宋" w:hAnsi="仿宋" w:eastAsia="仿宋"/>
          <w:color w:val="000000" w:themeColor="text1"/>
          <w:sz w:val="24"/>
          <w14:textFill>
            <w14:solidFill>
              <w14:schemeClr w14:val="tx1"/>
            </w14:solidFill>
          </w14:textFill>
        </w:rPr>
        <w:br w:type="textWrapping"/>
      </w:r>
      <w:r>
        <w:rPr>
          <w:rFonts w:hint="eastAsia" w:ascii="仿宋" w:hAnsi="仿宋" w:eastAsia="仿宋"/>
          <w:color w:val="000000" w:themeColor="text1"/>
          <w:sz w:val="24"/>
          <w14:textFill>
            <w14:solidFill>
              <w14:schemeClr w14:val="tx1"/>
            </w14:solidFill>
          </w14:textFill>
        </w:rPr>
        <w:t xml:space="preserve">    （四）提名委员会，主要由董事组成，其成员不少于</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名，设主任委员一名，由董事长担任，其他成员由董事长提出人选建议，董事会通过后生效。其主要职责是研究公司经理人员的选聘标准、程序和方法；向董事会提出经理人员选聘建议。</w:t>
      </w:r>
    </w:p>
    <w:p>
      <w:pPr>
        <w:tabs>
          <w:tab w:val="left" w:pos="0"/>
          <w:tab w:val="left" w:pos="1620"/>
        </w:tabs>
        <w:spacing w:line="440" w:lineRule="exact"/>
        <w:ind w:left="284"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lang w:eastAsia="zh-CN"/>
          <w14:textFill>
            <w14:solidFill>
              <w14:schemeClr w14:val="tx1"/>
            </w14:solidFill>
          </w14:textFill>
        </w:rPr>
        <w:t>【说明：</w:t>
      </w:r>
      <w:r>
        <w:rPr>
          <w:rFonts w:hint="eastAsia" w:ascii="仿宋" w:hAnsi="仿宋" w:eastAsia="仿宋"/>
          <w:b/>
          <w:bCs/>
          <w:color w:val="000000" w:themeColor="text1"/>
          <w:sz w:val="24"/>
          <w14:textFill>
            <w14:solidFill>
              <w14:schemeClr w14:val="tx1"/>
            </w14:solidFill>
          </w14:textFill>
        </w:rPr>
        <w:t>董事会可以设立专门委员会，也可以授权负责风险管理的专门委员会，承担法治建设（包括合规管理）的组织领导和统筹协调工作，定期召开会议，研究决定法治建设重大事项或提出意见建议，指导、监督和评价法治建设工作。</w:t>
      </w:r>
      <w:r>
        <w:rPr>
          <w:rFonts w:ascii="仿宋" w:hAnsi="仿宋" w:eastAsia="仿宋"/>
          <w:b/>
          <w:bCs/>
          <w:color w:val="000000" w:themeColor="text1"/>
          <w:sz w:val="24"/>
          <w14:textFill>
            <w14:solidFill>
              <w14:schemeClr w14:val="tx1"/>
            </w14:solidFill>
          </w14:textFill>
        </w:rPr>
        <w:br w:type="textWrapping"/>
      </w:r>
      <w:r>
        <w:rPr>
          <w:rFonts w:hint="eastAsia" w:ascii="仿宋" w:hAnsi="仿宋" w:eastAsia="仿宋"/>
          <w:b/>
          <w:bCs/>
          <w:color w:val="000000" w:themeColor="text1"/>
          <w:sz w:val="24"/>
          <w14:textFill>
            <w14:solidFill>
              <w14:schemeClr w14:val="tx1"/>
            </w14:solidFill>
          </w14:textFill>
        </w:rPr>
        <w:t xml:space="preserve">    董事会可以根据需要设立其他专门委员会，其职责由董事会根据公司具体情况确定，并在公司章程中明确。各专门委员会履行职权时应尽量使其成员达成一致意见；难以达成一致意见时，应向董事会提交各项不同意见并作说明。</w:t>
      </w:r>
      <w:r>
        <w:rPr>
          <w:rFonts w:hint="eastAsia" w:ascii="仿宋" w:hAnsi="仿宋" w:eastAsia="仿宋"/>
          <w:b/>
          <w:bCs/>
          <w:color w:val="000000" w:themeColor="text1"/>
          <w:sz w:val="24"/>
          <w:lang w:eastAsia="zh-CN"/>
          <w14:textFill>
            <w14:solidFill>
              <w14:schemeClr w14:val="tx1"/>
            </w14:solidFill>
          </w14:textFill>
        </w:rPr>
        <w:t>】</w:t>
      </w:r>
      <w:r>
        <w:rPr>
          <w:rFonts w:ascii="仿宋" w:hAnsi="仿宋" w:eastAsia="仿宋"/>
          <w:b/>
          <w:bCs/>
          <w:color w:val="000000" w:themeColor="text1"/>
          <w:sz w:val="24"/>
          <w14:textFill>
            <w14:solidFill>
              <w14:schemeClr w14:val="tx1"/>
            </w14:solidFill>
          </w14:textFill>
        </w:rPr>
        <w:br w:type="textWrapping"/>
      </w:r>
      <w:r>
        <w:rPr>
          <w:rFonts w:hint="eastAsia" w:ascii="仿宋" w:hAnsi="仿宋" w:eastAsia="仿宋"/>
          <w:color w:val="000000" w:themeColor="text1"/>
          <w:sz w:val="24"/>
          <w14:textFill>
            <w14:solidFill>
              <w14:schemeClr w14:val="tx1"/>
            </w14:solidFill>
          </w14:textFill>
        </w:rPr>
        <w:t xml:space="preserve">    公司各业务部门有义务为董事会及其下设的各专门委员会提供工作服务。经董事会同意，公司业务部门负责人可参加专门委员会的有关工作。各专门委员会经董事会授权可聘请中介机构为其提供专业意见，费用由公司承担。</w:t>
      </w:r>
      <w:r>
        <w:rPr>
          <w:rFonts w:ascii="仿宋" w:hAnsi="仿宋" w:eastAsia="仿宋"/>
          <w:color w:val="000000" w:themeColor="text1"/>
          <w:sz w:val="24"/>
          <w14:textFill>
            <w14:solidFill>
              <w14:schemeClr w14:val="tx1"/>
            </w14:solidFill>
          </w14:textFill>
        </w:rPr>
        <w:br w:type="textWrapping"/>
      </w:r>
      <w:r>
        <w:rPr>
          <w:rFonts w:ascii="仿宋" w:hAnsi="仿宋" w:eastAsia="仿宋"/>
          <w:color w:val="000000" w:themeColor="text1"/>
          <w:sz w:val="24"/>
          <w14:textFill>
            <w14:solidFill>
              <w14:schemeClr w14:val="tx1"/>
            </w14:solidFill>
          </w14:textFill>
        </w:rPr>
        <w:t xml:space="preserve">    董事会可以将部分职权授予相关专门委员会、董事长或</w:t>
      </w:r>
      <w:r>
        <w:rPr>
          <w:rFonts w:hint="eastAsia" w:ascii="仿宋" w:hAnsi="仿宋" w:eastAsia="仿宋"/>
          <w:color w:val="000000" w:themeColor="text1"/>
          <w:sz w:val="24"/>
          <w14:textFill>
            <w14:solidFill>
              <w14:schemeClr w14:val="tx1"/>
            </w14:solidFill>
          </w14:textFill>
        </w:rPr>
        <w:t>总裁（总经理）</w:t>
      </w:r>
      <w:r>
        <w:rPr>
          <w:rFonts w:ascii="仿宋" w:hAnsi="仿宋" w:eastAsia="仿宋"/>
          <w:color w:val="000000" w:themeColor="text1"/>
          <w:sz w:val="24"/>
          <w14:textFill>
            <w14:solidFill>
              <w14:schemeClr w14:val="tx1"/>
            </w14:solidFill>
          </w14:textFill>
        </w:rPr>
        <w:t>行使，但是法律、行政法规规定必须由董事会决策的事项除外。董事会应当制定授权行使规则，明确授权决策事项的决策责任。</w:t>
      </w:r>
      <w:r>
        <w:rPr>
          <w:rFonts w:ascii="仿宋" w:hAnsi="仿宋" w:eastAsia="仿宋"/>
          <w:color w:val="000000" w:themeColor="text1"/>
          <w:sz w:val="24"/>
          <w14:textFill>
            <w14:solidFill>
              <w14:schemeClr w14:val="tx1"/>
            </w14:solidFill>
          </w14:textFill>
        </w:rPr>
        <w:br w:type="textWrapping"/>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符合条件的职工董事可以进入相应的董事会专门委员会。</w:t>
      </w:r>
      <w:r>
        <w:rPr>
          <w:rFonts w:ascii="仿宋" w:hAnsi="仿宋" w:eastAsia="仿宋"/>
          <w:color w:val="000000" w:themeColor="text1"/>
          <w:sz w:val="24"/>
          <w14:textFill>
            <w14:solidFill>
              <w14:schemeClr w14:val="tx1"/>
            </w14:solidFill>
          </w14:textFill>
        </w:rPr>
        <w:br w:type="textWrapping"/>
      </w:r>
    </w:p>
    <w:p>
      <w:pPr>
        <w:numPr>
          <w:ilvl w:val="0"/>
          <w:numId w:val="2"/>
        </w:numPr>
        <w:tabs>
          <w:tab w:val="left" w:pos="1560"/>
        </w:tabs>
        <w:spacing w:before="249" w:beforeLines="80" w:after="249" w:afterLines="80" w:line="440" w:lineRule="exact"/>
        <w:ind w:left="0" w:firstLine="482" w:firstLineChars="20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专门委员会工作细则</w:t>
      </w:r>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董事会专门委员会负责制定各自的工作规则，具体规定各专门委员会的组成、职责、工作方式、议事程序等内容，经董事会批准后实施</w:t>
      </w:r>
      <w:r>
        <w:rPr>
          <w:rFonts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br w:type="textWrapping"/>
      </w:r>
    </w:p>
    <w:p>
      <w:pPr>
        <w:numPr>
          <w:ilvl w:val="0"/>
          <w:numId w:val="2"/>
        </w:numPr>
        <w:tabs>
          <w:tab w:val="left" w:pos="1560"/>
        </w:tabs>
        <w:spacing w:before="249" w:beforeLines="80" w:after="249" w:afterLines="80" w:line="440" w:lineRule="exact"/>
        <w:ind w:left="0" w:firstLine="569" w:firstLineChars="23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[董事会办公室]</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设立董事会办公室作为董事会的办事机构，董事会办公室具体负责公司治理政策理论研究和相关日常事务、筹备董事会和董事会专门委员会会议、指导子企业的现代企业制度建设和董事会建设等工作，为董事会提供专业的支持和服务。</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董事会秘书主持董事会办公室的工作。公司可以根据实际情况确定董事会办公室与其他部门合署办公。</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6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[董事会会议及年度会议]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董事会会议包括定期会议和临时会议。召开董事会会议的次数，应当确保满足董事会履行各项职责的需要。董事会每年度至少召开四次定期会议。</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6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[董事会会议的召开]</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以下情形之一发生时，董事长应当自接到提议后</w:t>
      </w:r>
      <w:r>
        <w:rPr>
          <w:rFonts w:hint="eastAsia" w:eastAsia="仿宋"/>
          <w:color w:val="000000" w:themeColor="text1"/>
          <w:sz w:val="24"/>
          <w14:textFill>
            <w14:solidFill>
              <w14:schemeClr w14:val="tx1"/>
            </w14:solidFill>
          </w14:textFill>
        </w:rPr>
        <w:t>十</w:t>
      </w:r>
      <w:r>
        <w:rPr>
          <w:rFonts w:eastAsia="仿宋"/>
          <w:color w:val="000000" w:themeColor="text1"/>
          <w:sz w:val="24"/>
          <w14:textFill>
            <w14:solidFill>
              <w14:schemeClr w14:val="tx1"/>
            </w14:solidFill>
          </w14:textFill>
        </w:rPr>
        <w:t>日内，召开董事会会议：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（一）三分之一以上董事提议时；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（二）监事会提议时；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（三）董事长认为必要时</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（四）股东会认为必要时。</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6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[董事会会议的召集和主持]</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董事会会议由董事长召集和主持；董事长不能履行职务或者不履行职务的，由副董事长召集和主持；副董事长不能履行职务或者不履行职务的，由半数以上董事共同推举一名董事召集和主持。</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6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[董事会会议通知和资料提供]</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长或董事会会议的其他召集者应在董事会会议召开十个工作日之前，将会议的时间、地点、期限、议程、事由、议题以及所议事项的详细资料（包括背景资料和有助于董事理解公司所议事项的信息和数据）通知全体董事以及其他与会及列席人员。对于紧急情况下召开的董事会会议，上述通知时限可以缩短，但必须保证在开会之前董事能够收到足以使其作出正确判断的所议事项的详细资料，并对上述资料进行阅读、理解以及研究的合理时间，不迟于董事会召开之日前的五个工作日。</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当三分之一以上董事认为资料不充分或者论证不明确时，可以书面形式联名提出缓开董事会会议或者缓议董事会会议所议议题，董事会通常应当采纳，但超过半数的董事持有相反意见认为仍应召开董事会会议或仍应讨论有关事项的除外。同一议题提出缓议的次数不得超过两次。同一议案提出两次缓议之后，提出缓议的董事仍认为议案有问题的，可以在表决时投反对票，或者按照有关规定向有关机构和部门反映和报告。</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董事会在研究决定涉及职工切身利益的重大问题和重要事项前，应当事先征求职工董事的意见。职工董事提出暂缓建议时，董事会应尊重职工董事的意见。</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6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[董事会召开的条件]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董事会会议应由过半数董事（委托其他董事出席的，委托董事计算在内）出席方可召开。</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6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 xml:space="preserve">[董事的出席和委托]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应亲自出席董事会会议，不能亲自出席的，可以委托其他董事出席，但必须向受托人出具有效的委托书，委托书上必须载明对于各项列入表决程序议案的明确意见或授权受托人行使表决权，否则视为委托人对有关的议案未投票。除不可抗力等特殊情况以外，每年度出席董事会会议次数不得少于会议总数的四分之三。</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6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r>
        <w:rPr>
          <w:rFonts w:hint="eastAsia" w:eastAsia="仿宋"/>
          <w:b/>
          <w:bCs/>
          <w:color w:val="000000" w:themeColor="text1"/>
          <w:sz w:val="24"/>
          <w14:textFill>
            <w14:solidFill>
              <w14:schemeClr w14:val="tx1"/>
            </w14:solidFill>
          </w14:textFill>
        </w:rPr>
        <w:t>董事会会议召开的方式</w:t>
      </w:r>
      <w:r>
        <w:rPr>
          <w:rFonts w:eastAsia="仿宋"/>
          <w:b/>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董事会会议召开形式及议程应保证给予所有董事充分发表意见和真实表达意思的机会。董事会认为需要进一步研究或者作重大修改的议案，应当在对议案进行修改、完善后复议，复议的时间和方式由董事会会议决定。</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董事会会议一般应以现场会议的形式召开。遇特殊情况，经董事长同意，在保证与会董事能充分发表意见并真实表达意思的前提下，也可采用电话会议、视频会议或者签署书面决议等方式对议案作出决议。但是，年度董事会会议以及任何董事认为应当以现场会形式举行的其它董事会会议，必须以现场会形式举行。</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电话会议是指借助电话及类似通讯设备举行会议，并能保证每位董事可以正常进行发言和讨论。以电话会议方式召开的，应制作现场录音，并形成书面记录和会议决议，事后由与会董事签署后一并存档。</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视频会议是指借助网络视频及类似通讯设备举行会议，并能保证每位董事可以正常进行发言和讨论。以视频会议方式召开的，应制作现场录音、录像，并形成书面记录和会议决议，事后由与会董事签署后一并存档。</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书面签署决议方式是指，制成书面议案材料分别送交各位董事，由董事签署书面决议的方式召开董事会会议。对董事表决意愿的书面意见应制作会议记录。</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采用签署书面决议方式对议案作出决议的，可不按照本章程规定进行会议通知和提供议案资料。</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6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[董事会会议议案的提出和表决]</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任何董事均可在年度会议上提出进行表决的议案，年度会议应予以表决，但提出议案的董事应事先向其他所有董事提供足以使其作出正确判断的所议事项的详细资料，且确保给予其对上述资料进行阅读、理解以及研究的合理时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任何董事提议在其他董事会会议上进行讨论或表决的议案，应在会前得到董事长的同意，对于其他董事会会议上提出且董事长不同意讨论或表决的议案，应首先由会议对是否对该议案进行讨论或表决进行表决。董事与董事会决议事项所涉及的企业等相关主体有关联关系的，不得对该项决议行使表决权，也不得代理其他董事行使表决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对重大决策、重要人事任免、重大项目安排和大额度资金运作等需要董事会讨论审议的事项，</w:t>
      </w:r>
      <w:r>
        <w:rPr>
          <w:rFonts w:hint="eastAsia" w:hAnsi="仿宋" w:eastAsia="仿宋"/>
          <w:color w:val="000000" w:themeColor="text1"/>
          <w:sz w:val="24"/>
          <w14:textFill>
            <w14:solidFill>
              <w14:schemeClr w14:val="tx1"/>
            </w14:solidFill>
          </w14:textFill>
        </w:rPr>
        <w:t>原则上应采取现场会议</w:t>
      </w:r>
      <w:r>
        <w:rPr>
          <w:rFonts w:eastAsia="仿宋"/>
          <w:color w:val="000000" w:themeColor="text1"/>
          <w:sz w:val="24"/>
          <w14:textFill>
            <w14:solidFill>
              <w14:schemeClr w14:val="tx1"/>
            </w14:solidFill>
          </w14:textFill>
        </w:rPr>
        <w:t>方式进行表决。</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6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[董事会会议表决方式]</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董事会会议表决程序应以记名方式进行。</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6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[董事会会议的表决]</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董事会会议进行表决时，每名董事享有一票表决权。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董事会对以下特别决议事项进行表决时，须经全体董事三分之二以上同意方可通过</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（一）制订公司增加或者减少注册资本的方案；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（二）制订公司合并、分立、解散</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变更公司形式</w:t>
      </w:r>
      <w:r>
        <w:rPr>
          <w:rFonts w:hint="eastAsia" w:eastAsia="仿宋"/>
          <w:color w:val="000000" w:themeColor="text1"/>
          <w:sz w:val="24"/>
          <w14:textFill>
            <w14:solidFill>
              <w14:schemeClr w14:val="tx1"/>
            </w14:solidFill>
          </w14:textFill>
        </w:rPr>
        <w:t>或者变更经营期限</w:t>
      </w:r>
      <w:r>
        <w:rPr>
          <w:rFonts w:eastAsia="仿宋"/>
          <w:color w:val="000000" w:themeColor="text1"/>
          <w:sz w:val="24"/>
          <w14:textFill>
            <w14:solidFill>
              <w14:schemeClr w14:val="tx1"/>
            </w14:solidFill>
          </w14:textFill>
        </w:rPr>
        <w:t>的方案；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（三）制</w:t>
      </w:r>
      <w:r>
        <w:rPr>
          <w:rFonts w:hint="eastAsia" w:eastAsia="仿宋"/>
          <w:color w:val="000000" w:themeColor="text1"/>
          <w:sz w:val="24"/>
          <w14:textFill>
            <w14:solidFill>
              <w14:schemeClr w14:val="tx1"/>
            </w14:solidFill>
          </w14:textFill>
        </w:rPr>
        <w:t>订</w:t>
      </w:r>
      <w:r>
        <w:rPr>
          <w:rFonts w:eastAsia="仿宋"/>
          <w:color w:val="000000" w:themeColor="text1"/>
          <w:sz w:val="24"/>
          <w14:textFill>
            <w14:solidFill>
              <w14:schemeClr w14:val="tx1"/>
            </w14:solidFill>
          </w14:textFill>
        </w:rPr>
        <w:t>章程草案和章程修改方案；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w:t>
      </w:r>
      <w:r>
        <w:rPr>
          <w:rFonts w:hint="eastAsia" w:hAnsi="仿宋" w:eastAsia="仿宋"/>
          <w:color w:val="000000" w:themeColor="text1"/>
          <w:sz w:val="24"/>
          <w14:textFill>
            <w14:solidFill>
              <w14:schemeClr w14:val="tx1"/>
            </w14:solidFill>
          </w14:textFill>
        </w:rPr>
        <w:t>法律、</w:t>
      </w:r>
      <w:r>
        <w:rPr>
          <w:rFonts w:hAnsi="仿宋" w:eastAsia="仿宋"/>
          <w:color w:val="000000" w:themeColor="text1"/>
          <w:sz w:val="24"/>
          <w14:textFill>
            <w14:solidFill>
              <w14:schemeClr w14:val="tx1"/>
            </w14:solidFill>
          </w14:textFill>
        </w:rPr>
        <w:t>法规</w:t>
      </w:r>
      <w:r>
        <w:rPr>
          <w:rFonts w:hint="eastAsia" w:hAnsi="仿宋" w:eastAsia="仿宋"/>
          <w:color w:val="000000" w:themeColor="text1"/>
          <w:sz w:val="24"/>
          <w14:textFill>
            <w14:solidFill>
              <w14:schemeClr w14:val="tx1"/>
            </w14:solidFill>
          </w14:textFill>
        </w:rPr>
        <w:t>、规章、规范性文件及本章程</w:t>
      </w:r>
      <w:r>
        <w:rPr>
          <w:rFonts w:eastAsia="仿宋"/>
          <w:color w:val="000000" w:themeColor="text1"/>
          <w:sz w:val="24"/>
          <w14:textFill>
            <w14:solidFill>
              <w14:schemeClr w14:val="tx1"/>
            </w14:solidFill>
          </w14:textFill>
        </w:rPr>
        <w:t>规定的应当通过特别决议通过的事项；</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除上述特别决议事项外，其他事项须经全体董事过半数同意即可通过。</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6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[董事会会议记录]</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无论是否采取现场会形式召开董事会，董事会会议应对所议事项做成详细的书面会议记录。该记录</w:t>
      </w:r>
      <w:r>
        <w:rPr>
          <w:rFonts w:hint="eastAsia" w:eastAsia="仿宋"/>
          <w:color w:val="000000" w:themeColor="text1"/>
          <w:sz w:val="24"/>
          <w14:textFill>
            <w14:solidFill>
              <w14:schemeClr w14:val="tx1"/>
            </w14:solidFill>
          </w14:textFill>
        </w:rPr>
        <w:t>至少</w:t>
      </w:r>
      <w:r>
        <w:rPr>
          <w:rFonts w:eastAsia="仿宋"/>
          <w:color w:val="000000" w:themeColor="text1"/>
          <w:sz w:val="24"/>
          <w14:textFill>
            <w14:solidFill>
              <w14:schemeClr w14:val="tx1"/>
            </w14:solidFill>
          </w14:textFill>
        </w:rPr>
        <w:t>应包括会议召开的日期、地点、主持人姓名、出席董事姓名、会议议程、董事发言要点、决议的表决方式和结果并载明赞成、反对或弃权的票数及投票人姓名。出席会议的董事和列席会议的董事会秘书</w:t>
      </w:r>
      <w:r>
        <w:rPr>
          <w:rFonts w:hint="eastAsia" w:eastAsia="仿宋"/>
          <w:color w:val="000000" w:themeColor="text1"/>
          <w:sz w:val="24"/>
          <w14:textFill>
            <w14:solidFill>
              <w14:schemeClr w14:val="tx1"/>
            </w14:solidFill>
          </w14:textFill>
        </w:rPr>
        <w:t>及其他列席人员</w:t>
      </w:r>
      <w:r>
        <w:rPr>
          <w:rFonts w:eastAsia="仿宋"/>
          <w:color w:val="000000" w:themeColor="text1"/>
          <w:sz w:val="24"/>
          <w14:textFill>
            <w14:solidFill>
              <w14:schemeClr w14:val="tx1"/>
            </w14:solidFill>
          </w14:textFill>
        </w:rPr>
        <w:t>应在会议记录上签名。</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会议记录应妥善保存于公司并与</w:t>
      </w:r>
      <w:r>
        <w:rPr>
          <w:rFonts w:hint="eastAsia" w:eastAsia="仿宋"/>
          <w:color w:val="000000" w:themeColor="text1"/>
          <w:sz w:val="24"/>
          <w14:textFill>
            <w14:solidFill>
              <w14:schemeClr w14:val="tx1"/>
            </w14:solidFill>
          </w14:textFill>
        </w:rPr>
        <w:t>本</w:t>
      </w:r>
      <w:r>
        <w:rPr>
          <w:rFonts w:eastAsia="仿宋"/>
          <w:color w:val="000000" w:themeColor="text1"/>
          <w:sz w:val="24"/>
          <w14:textFill>
            <w14:solidFill>
              <w14:schemeClr w14:val="tx1"/>
            </w14:solidFill>
          </w14:textFill>
        </w:rPr>
        <w:t>章程</w:t>
      </w:r>
      <w:r>
        <w:rPr>
          <w:rFonts w:hint="eastAsia" w:eastAsia="仿宋"/>
          <w:color w:val="000000" w:themeColor="text1"/>
          <w:sz w:val="24"/>
          <w14:textFill>
            <w14:solidFill>
              <w14:schemeClr w14:val="tx1"/>
            </w14:solidFill>
          </w14:textFill>
        </w:rPr>
        <w:t>第六十一条</w:t>
      </w:r>
      <w:r>
        <w:rPr>
          <w:rFonts w:eastAsia="仿宋"/>
          <w:color w:val="000000" w:themeColor="text1"/>
          <w:sz w:val="24"/>
          <w14:textFill>
            <w14:solidFill>
              <w14:schemeClr w14:val="tx1"/>
            </w14:solidFill>
          </w14:textFill>
        </w:rPr>
        <w:t>规定的书面报告及董事会决议同时提交股东会，抄送监事会。董事会会议、会议记录、委托人的授权委托书及董事会会议材料均应存档并永久保存于公司。董事应当妥善保管会议文件。董事及会议列席人员对会议文件和会议审议的内容负有保密的责任和义务。</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6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[董事会议事规则]</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董事会可以根据本章程制定具体的董事会议事规则，董事会议事规则应报股东会备案。</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567"/>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[董事会提交书面报告]</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以下情形之一发生之日起的五个工作日内，董事会应向股东会就有关事项提交书面报告：</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（一）任何董事会会议召开；</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（二）董事会认为公司发生了任何超越其权限的事宜，需提请股东会决定时；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三</w:t>
      </w:r>
      <w:r>
        <w:rPr>
          <w:rFonts w:eastAsia="仿宋"/>
          <w:color w:val="000000" w:themeColor="text1"/>
          <w:sz w:val="24"/>
          <w14:textFill>
            <w14:solidFill>
              <w14:schemeClr w14:val="tx1"/>
            </w14:solidFill>
          </w14:textFill>
        </w:rPr>
        <w:t>）股东</w:t>
      </w:r>
      <w:r>
        <w:rPr>
          <w:rFonts w:hint="eastAsia" w:eastAsia="仿宋"/>
          <w:color w:val="000000" w:themeColor="text1"/>
          <w:sz w:val="24"/>
          <w14:textFill>
            <w14:solidFill>
              <w14:schemeClr w14:val="tx1"/>
            </w14:solidFill>
          </w14:textFill>
        </w:rPr>
        <w:t>会</w:t>
      </w:r>
      <w:r>
        <w:rPr>
          <w:rFonts w:eastAsia="仿宋"/>
          <w:color w:val="000000" w:themeColor="text1"/>
          <w:sz w:val="24"/>
          <w14:textFill>
            <w14:solidFill>
              <w14:schemeClr w14:val="tx1"/>
            </w14:solidFill>
          </w14:textFill>
        </w:rPr>
        <w:t>要求时；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（四）</w:t>
      </w:r>
      <w:r>
        <w:rPr>
          <w:rFonts w:eastAsia="仿宋"/>
          <w:color w:val="000000" w:themeColor="text1"/>
          <w:sz w:val="24"/>
          <w14:textFill>
            <w14:solidFill>
              <w14:schemeClr w14:val="tx1"/>
            </w14:solidFill>
          </w14:textFill>
        </w:rPr>
        <w:t>本章程其他条款规定的情</w:t>
      </w:r>
      <w:r>
        <w:rPr>
          <w:rFonts w:hint="eastAsia" w:eastAsia="仿宋"/>
          <w:color w:val="000000" w:themeColor="text1"/>
          <w:sz w:val="24"/>
          <w14:textFill>
            <w14:solidFill>
              <w14:schemeClr w14:val="tx1"/>
            </w14:solidFill>
          </w14:textFill>
        </w:rPr>
        <w:t>形</w:t>
      </w:r>
      <w:r>
        <w:rPr>
          <w:rFonts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[董事会建议和意见]</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股东行使职权时，董事会有权主动或应股东的要求提出建议，但上述建议不得妨碍股东行使职权。股东依据本章程行使职权时，董事会或董事有不同意见的，可将不同意见以书面形式报送股东</w:t>
      </w:r>
      <w:r>
        <w:rPr>
          <w:rFonts w:hint="eastAsia" w:eastAsia="仿宋"/>
          <w:color w:val="000000" w:themeColor="text1"/>
          <w:sz w:val="24"/>
          <w14:textFill>
            <w14:solidFill>
              <w14:schemeClr w14:val="tx1"/>
            </w14:solidFill>
          </w14:textFill>
        </w:rPr>
        <w:t>会</w:t>
      </w:r>
      <w:r>
        <w:rPr>
          <w:rFonts w:eastAsia="仿宋"/>
          <w:color w:val="000000" w:themeColor="text1"/>
          <w:sz w:val="24"/>
          <w14:textFill>
            <w14:solidFill>
              <w14:schemeClr w14:val="tx1"/>
            </w14:solidFill>
          </w14:textFill>
        </w:rPr>
        <w:t>并妥善保存于公司。</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列席</w:t>
      </w:r>
      <w:r>
        <w:rPr>
          <w:rFonts w:hAnsi="仿宋" w:eastAsia="仿宋"/>
          <w:b/>
          <w:color w:val="000000" w:themeColor="text1"/>
          <w:sz w:val="24"/>
          <w14:textFill>
            <w14:solidFill>
              <w14:schemeClr w14:val="tx1"/>
            </w14:solidFill>
          </w14:textFill>
        </w:rPr>
        <w:t>董事会和</w:t>
      </w:r>
      <w:r>
        <w:rPr>
          <w:rFonts w:hint="eastAsia" w:hAnsi="仿宋" w:eastAsia="仿宋"/>
          <w:b/>
          <w:color w:val="000000" w:themeColor="text1"/>
          <w:sz w:val="24"/>
          <w14:textFill>
            <w14:solidFill>
              <w14:schemeClr w14:val="tx1"/>
            </w14:solidFill>
          </w14:textFill>
        </w:rPr>
        <w:t>董事会专门委员会会议</w:t>
      </w:r>
      <w:r>
        <w:rPr>
          <w:rFonts w:eastAsia="仿宋"/>
          <w:b/>
          <w:bCs/>
          <w:color w:val="000000" w:themeColor="text1"/>
          <w:sz w:val="24"/>
          <w14:textFill>
            <w14:solidFill>
              <w14:schemeClr w14:val="tx1"/>
            </w14:solidFill>
          </w14:textFill>
        </w:rPr>
        <w:t>]</w:t>
      </w:r>
      <w:r>
        <w:rPr>
          <w:rFonts w:eastAsia="仿宋"/>
          <w:b/>
          <w:bCs/>
          <w:color w:val="000000" w:themeColor="text1"/>
          <w:sz w:val="24"/>
          <w14:textFill>
            <w14:solidFill>
              <w14:schemeClr w14:val="tx1"/>
            </w14:solidFill>
          </w14:textFill>
        </w:rPr>
        <w:br w:type="textWrapping"/>
      </w:r>
      <w:r>
        <w:rPr>
          <w:rFonts w:eastAsia="仿宋"/>
          <w:b/>
          <w:bCs/>
          <w:color w:val="000000" w:themeColor="text1"/>
          <w:sz w:val="24"/>
          <w14:textFill>
            <w14:solidFill>
              <w14:schemeClr w14:val="tx1"/>
            </w14:solidFill>
          </w14:textFill>
        </w:rPr>
        <w:t xml:space="preserve">  </w:t>
      </w:r>
      <w:r>
        <w:rPr>
          <w:rFonts w:eastAsia="仿宋"/>
          <w:bCs/>
          <w:color w:val="000000" w:themeColor="text1"/>
          <w:sz w:val="24"/>
          <w14:textFill>
            <w14:solidFill>
              <w14:schemeClr w14:val="tx1"/>
            </w14:solidFill>
          </w14:textFill>
        </w:rPr>
        <w:t xml:space="preserve">  </w:t>
      </w:r>
      <w:r>
        <w:rPr>
          <w:rFonts w:hint="eastAsia" w:eastAsia="仿宋"/>
          <w:bCs/>
          <w:color w:val="000000" w:themeColor="text1"/>
          <w:sz w:val="24"/>
          <w14:textFill>
            <w14:solidFill>
              <w14:schemeClr w14:val="tx1"/>
            </w14:solidFill>
          </w14:textFill>
        </w:rPr>
        <w:t>公司纪委书记（</w:t>
      </w:r>
      <w:r>
        <w:rPr>
          <w:rFonts w:hint="eastAsia" w:hAnsi="仿宋" w:eastAsia="仿宋"/>
          <w:color w:val="000000" w:themeColor="text1"/>
          <w:sz w:val="24"/>
          <w14:textFill>
            <w14:solidFill>
              <w14:schemeClr w14:val="tx1"/>
            </w14:solidFill>
          </w14:textFill>
        </w:rPr>
        <w:t>派驻纪检监察组长</w:t>
      </w:r>
      <w:r>
        <w:rPr>
          <w:rFonts w:hint="eastAsia" w:eastAsia="仿宋"/>
          <w:bCs/>
          <w:color w:val="000000" w:themeColor="text1"/>
          <w:sz w:val="24"/>
          <w14:textFill>
            <w14:solidFill>
              <w14:schemeClr w14:val="tx1"/>
            </w14:solidFill>
          </w14:textFill>
        </w:rPr>
        <w:t>）可列席董事会和董事会专门委员会的会议。董事会可以根据需要邀请公司高级管理人员、相关业务部门负责人和专家列席，对涉及的议案进行解释、提供咨询或者发表意见、接受质询。董事会审议事项涉及法律问题的，总法律顾问应当列席并提出法律意见。列席董事会会议的人员没有表决权。</w:t>
      </w:r>
      <w:r>
        <w:rPr>
          <w:rFonts w:eastAsia="仿宋"/>
          <w:b/>
          <w:bCs/>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[董事会秘书的聘任、解聘和职责]</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公司设董事会秘书，对董事会负责，由董事长提名，董事会决定聘任或解聘。</w:t>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董事会秘书</w:t>
      </w:r>
      <w:r>
        <w:rPr>
          <w:rFonts w:hAnsi="仿宋" w:eastAsia="仿宋"/>
          <w:color w:val="000000" w:themeColor="text1"/>
          <w:sz w:val="24"/>
          <w14:textFill>
            <w14:solidFill>
              <w14:schemeClr w14:val="tx1"/>
            </w14:solidFill>
          </w14:textFill>
        </w:rPr>
        <w:t>负责董事会办公室工作，列席董事会会议。</w:t>
      </w:r>
      <w:r>
        <w:rPr>
          <w:rFonts w:hint="eastAsia" w:hAnsi="仿宋" w:eastAsia="仿宋"/>
          <w:color w:val="000000" w:themeColor="text1"/>
          <w:sz w:val="24"/>
          <w14:textFill>
            <w14:solidFill>
              <w14:schemeClr w14:val="tx1"/>
            </w14:solidFill>
          </w14:textFill>
        </w:rPr>
        <w:t>董事会秘书</w:t>
      </w:r>
      <w:r>
        <w:rPr>
          <w:rFonts w:eastAsia="仿宋"/>
          <w:color w:val="000000" w:themeColor="text1"/>
          <w:sz w:val="24"/>
          <w14:textFill>
            <w14:solidFill>
              <w14:schemeClr w14:val="tx1"/>
            </w14:solidFill>
          </w14:textFill>
        </w:rPr>
        <w:t>应当具备相关专业知识和经验，应当具有足够的时间和精力履职，一般应当为专职</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董事会秘书</w:t>
      </w:r>
      <w:r>
        <w:rPr>
          <w:rFonts w:hint="eastAsia" w:eastAsia="仿宋"/>
          <w:color w:val="000000" w:themeColor="text1"/>
          <w:sz w:val="24"/>
          <w14:textFill>
            <w14:solidFill>
              <w14:schemeClr w14:val="tx1"/>
            </w14:solidFill>
          </w14:textFill>
        </w:rPr>
        <w:t>应配合董事长严格依照本章程进行董事会会议材料提供、会议记录、决议整理、董事会报告提交等工作。</w:t>
      </w:r>
      <w:r>
        <w:rPr>
          <w:rFonts w:eastAsia="仿宋"/>
          <w:color w:val="000000" w:themeColor="text1"/>
          <w:sz w:val="24"/>
          <w14:textFill>
            <w14:solidFill>
              <w14:schemeClr w14:val="tx1"/>
            </w14:solidFill>
          </w14:textFill>
        </w:rPr>
        <w:br w:type="textWrapping"/>
      </w:r>
    </w:p>
    <w:p>
      <w:pPr>
        <w:pStyle w:val="3"/>
        <w:numPr>
          <w:ilvl w:val="1"/>
          <w:numId w:val="1"/>
        </w:numPr>
        <w:spacing w:before="249" w:beforeLines="80" w:after="249" w:afterLines="80" w:line="440" w:lineRule="exact"/>
        <w:ind w:left="0" w:firstLine="0"/>
        <w:jc w:val="center"/>
        <w:rPr>
          <w:rFonts w:ascii="Times New Roman" w:hAnsi="Times New Roman" w:eastAsia="仿宋"/>
          <w:color w:val="000000" w:themeColor="text1"/>
          <w:sz w:val="24"/>
          <w:szCs w:val="24"/>
          <w14:textFill>
            <w14:solidFill>
              <w14:schemeClr w14:val="tx1"/>
            </w14:solidFill>
          </w14:textFill>
        </w:rPr>
      </w:pPr>
      <w:bookmarkStart w:id="37" w:name="_Toc48290104"/>
      <w:bookmarkStart w:id="38" w:name="_Toc130021880"/>
      <w:r>
        <w:rPr>
          <w:rFonts w:ascii="Times New Roman" w:hAnsi="Times New Roman" w:eastAsia="仿宋"/>
          <w:color w:val="000000" w:themeColor="text1"/>
          <w:sz w:val="24"/>
          <w:szCs w:val="24"/>
          <w14:textFill>
            <w14:solidFill>
              <w14:schemeClr w14:val="tx1"/>
            </w14:solidFill>
          </w14:textFill>
        </w:rPr>
        <w:t>日常经营管理机构</w:t>
      </w:r>
      <w:bookmarkEnd w:id="37"/>
      <w:bookmarkEnd w:id="38"/>
    </w:p>
    <w:p>
      <w:pPr>
        <w:numPr>
          <w:ilvl w:val="0"/>
          <w:numId w:val="2"/>
        </w:numPr>
        <w:spacing w:before="249" w:beforeLines="80" w:after="249" w:afterLines="80" w:line="440" w:lineRule="exact"/>
        <w:ind w:left="0" w:firstLine="426"/>
        <w:rPr>
          <w:rFonts w:eastAsia="仿宋"/>
          <w:b/>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[高级管理人员的组成]</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总裁（总经理）、副总裁（副总经理）、财务负责人</w:t>
      </w:r>
      <w:r>
        <w:rPr>
          <w:rFonts w:hint="eastAsia" w:eastAsia="仿宋"/>
          <w:color w:val="000000" w:themeColor="text1"/>
          <w:sz w:val="24"/>
          <w14:textFill>
            <w14:solidFill>
              <w14:schemeClr w14:val="tx1"/>
            </w14:solidFill>
          </w14:textFill>
        </w:rPr>
        <w:t>和总</w:t>
      </w:r>
      <w:r>
        <w:rPr>
          <w:rFonts w:eastAsia="仿宋"/>
          <w:color w:val="000000" w:themeColor="text1"/>
          <w:sz w:val="24"/>
          <w14:textFill>
            <w14:solidFill>
              <w14:schemeClr w14:val="tx1"/>
            </w14:solidFill>
          </w14:textFill>
        </w:rPr>
        <w:t>法律顾问为</w:t>
      </w:r>
      <w:r>
        <w:rPr>
          <w:rFonts w:hint="eastAsia" w:eastAsia="仿宋"/>
          <w:color w:val="000000" w:themeColor="text1"/>
          <w:sz w:val="24"/>
          <w14:textFill>
            <w14:solidFill>
              <w14:schemeClr w14:val="tx1"/>
            </w14:solidFill>
          </w14:textFill>
        </w:rPr>
        <w:t>公司</w:t>
      </w:r>
      <w:r>
        <w:rPr>
          <w:rFonts w:eastAsia="仿宋"/>
          <w:color w:val="000000" w:themeColor="text1"/>
          <w:sz w:val="24"/>
          <w14:textFill>
            <w14:solidFill>
              <w14:schemeClr w14:val="tx1"/>
            </w14:solidFill>
          </w14:textFill>
        </w:rPr>
        <w:t>高级管理人员。</w:t>
      </w:r>
      <w:r>
        <w:rPr>
          <w:rFonts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【说明：本章程可设定公司其他人员为高级管理人员】</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[任职要求和董事兼任高级管理人员]</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高级管理人员应具有与其所担任职务相适应的专业知识和工作经验。经董事会同意，</w:t>
      </w:r>
      <w:r>
        <w:rPr>
          <w:rFonts w:hint="eastAsia" w:eastAsia="仿宋"/>
          <w:color w:val="000000" w:themeColor="text1"/>
          <w:sz w:val="24"/>
          <w14:textFill>
            <w14:solidFill>
              <w14:schemeClr w14:val="tx1"/>
            </w14:solidFill>
          </w14:textFill>
        </w:rPr>
        <w:t>除外部董事以外的</w:t>
      </w:r>
      <w:r>
        <w:rPr>
          <w:rFonts w:eastAsia="仿宋"/>
          <w:color w:val="000000" w:themeColor="text1"/>
          <w:sz w:val="24"/>
          <w14:textFill>
            <w14:solidFill>
              <w14:schemeClr w14:val="tx1"/>
            </w14:solidFill>
          </w14:textFill>
        </w:rPr>
        <w:t>董事可以受聘兼任高级管理人员。</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[总裁（总经理）的聘任、解聘和任期]</w:t>
      </w:r>
      <w:r>
        <w:rPr>
          <w:rFonts w:hint="eastAsia" w:eastAsia="仿宋"/>
          <w:b/>
          <w:bCs/>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总裁（总经理）由董事会决定聘任或解聘，可由董事兼任。总裁（总经理）聘任期每届三年，获连续受聘可以连任。</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[总裁</w:t>
      </w:r>
      <w:r>
        <w:rPr>
          <w:rFonts w:hint="eastAsia" w:eastAsia="仿宋"/>
          <w:b/>
          <w:bCs/>
          <w:color w:val="000000" w:themeColor="text1"/>
          <w:sz w:val="24"/>
          <w14:textFill>
            <w14:solidFill>
              <w14:schemeClr w14:val="tx1"/>
            </w14:solidFill>
          </w14:textFill>
        </w:rPr>
        <w:t>（总经理）</w:t>
      </w:r>
      <w:r>
        <w:rPr>
          <w:rFonts w:eastAsia="仿宋"/>
          <w:b/>
          <w:bCs/>
          <w:color w:val="000000" w:themeColor="text1"/>
          <w:sz w:val="24"/>
          <w14:textFill>
            <w14:solidFill>
              <w14:schemeClr w14:val="tx1"/>
            </w14:solidFill>
          </w14:textFill>
        </w:rPr>
        <w:t>的职权]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总裁（总经理）对董事会负责，行使以下职权：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（一）主持公司的生产经营管理工作，组织实施董事会决议；</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（二）组织实施公司年度经营计划和投资方案；</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（三）根据公司</w:t>
      </w:r>
      <w:r>
        <w:rPr>
          <w:rFonts w:hint="eastAsia" w:eastAsia="仿宋"/>
          <w:bCs/>
          <w:color w:val="000000" w:themeColor="text1"/>
          <w:sz w:val="24"/>
          <w14:textFill>
            <w14:solidFill>
              <w14:schemeClr w14:val="tx1"/>
            </w14:solidFill>
          </w14:textFill>
        </w:rPr>
        <w:t>年度</w:t>
      </w:r>
      <w:r>
        <w:rPr>
          <w:rFonts w:eastAsia="仿宋"/>
          <w:bCs/>
          <w:color w:val="000000" w:themeColor="text1"/>
          <w:sz w:val="24"/>
          <w14:textFill>
            <w14:solidFill>
              <w14:schemeClr w14:val="tx1"/>
            </w14:solidFill>
          </w14:textFill>
        </w:rPr>
        <w:t>投资</w:t>
      </w:r>
      <w:r>
        <w:rPr>
          <w:rFonts w:hint="eastAsia" w:eastAsia="仿宋"/>
          <w:bCs/>
          <w:color w:val="000000" w:themeColor="text1"/>
          <w:sz w:val="24"/>
          <w14:textFill>
            <w14:solidFill>
              <w14:schemeClr w14:val="tx1"/>
            </w14:solidFill>
          </w14:textFill>
        </w:rPr>
        <w:t>计划和投资</w:t>
      </w:r>
      <w:r>
        <w:rPr>
          <w:rFonts w:eastAsia="仿宋"/>
          <w:bCs/>
          <w:color w:val="000000" w:themeColor="text1"/>
          <w:sz w:val="24"/>
          <w14:textFill>
            <w14:solidFill>
              <w14:schemeClr w14:val="tx1"/>
            </w14:solidFill>
          </w14:textFill>
        </w:rPr>
        <w:t>方案，批准经常性项目费用和长期投资阶段性费用的支出；</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（四）</w:t>
      </w:r>
      <w:r>
        <w:rPr>
          <w:rFonts w:hint="eastAsia" w:eastAsia="仿宋"/>
          <w:bCs/>
          <w:color w:val="000000" w:themeColor="text1"/>
          <w:sz w:val="24"/>
          <w14:textFill>
            <w14:solidFill>
              <w14:schemeClr w14:val="tx1"/>
            </w14:solidFill>
          </w14:textFill>
        </w:rPr>
        <w:t>拟订公司内部管理机构设置方案；</w:t>
      </w:r>
      <w:r>
        <w:rPr>
          <w:rFonts w:eastAsia="仿宋"/>
          <w:bCs/>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（五）</w:t>
      </w:r>
      <w:r>
        <w:rPr>
          <w:rFonts w:hint="eastAsia" w:eastAsia="仿宋"/>
          <w:bCs/>
          <w:color w:val="000000" w:themeColor="text1"/>
          <w:sz w:val="24"/>
          <w14:textFill>
            <w14:solidFill>
              <w14:schemeClr w14:val="tx1"/>
            </w14:solidFill>
          </w14:textFill>
        </w:rPr>
        <w:t>拟订公司的基本管理制度</w:t>
      </w:r>
      <w:r>
        <w:rPr>
          <w:rFonts w:eastAsia="仿宋"/>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（六）</w:t>
      </w:r>
      <w:r>
        <w:rPr>
          <w:rFonts w:hint="eastAsia" w:eastAsia="仿宋"/>
          <w:bCs/>
          <w:color w:val="000000" w:themeColor="text1"/>
          <w:sz w:val="24"/>
          <w14:textFill>
            <w14:solidFill>
              <w14:schemeClr w14:val="tx1"/>
            </w14:solidFill>
          </w14:textFill>
        </w:rPr>
        <w:t>制定公司基本管理制度之外的其他规章制度，制定公司基本管理制度的实施细则；</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（七）</w:t>
      </w:r>
      <w:r>
        <w:rPr>
          <w:rFonts w:hint="eastAsia" w:eastAsia="仿宋"/>
          <w:bCs/>
          <w:color w:val="000000" w:themeColor="text1"/>
          <w:sz w:val="24"/>
          <w14:textFill>
            <w14:solidFill>
              <w14:schemeClr w14:val="tx1"/>
            </w14:solidFill>
          </w14:textFill>
        </w:rPr>
        <w:t>决定聘任或者解聘除应由董事会决定聘任或者解聘以外的负责管理人员；</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（八）</w:t>
      </w:r>
      <w:r>
        <w:rPr>
          <w:rFonts w:hint="eastAsia" w:eastAsia="仿宋"/>
          <w:bCs/>
          <w:color w:val="000000" w:themeColor="text1"/>
          <w:sz w:val="24"/>
          <w14:textFill>
            <w14:solidFill>
              <w14:schemeClr w14:val="tx1"/>
            </w14:solidFill>
          </w14:textFill>
        </w:rPr>
        <w:t>拟订发行公司债券（或其他具有债券性质的证券）方案及一定金额以上的其他融资方案，批准一定金额以下的其他融资方案</w:t>
      </w:r>
      <w:r>
        <w:rPr>
          <w:rFonts w:eastAsia="仿宋"/>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（九）</w:t>
      </w:r>
      <w:r>
        <w:rPr>
          <w:rFonts w:hint="eastAsia" w:eastAsia="仿宋"/>
          <w:bCs/>
          <w:color w:val="000000" w:themeColor="text1"/>
          <w:sz w:val="24"/>
          <w14:textFill>
            <w14:solidFill>
              <w14:schemeClr w14:val="tx1"/>
            </w14:solidFill>
          </w14:textFill>
        </w:rPr>
        <w:t>拟订公司的资产抵押、质押、保证等对外担保方案；</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（十）拟订公司</w:t>
      </w:r>
      <w:r>
        <w:rPr>
          <w:rFonts w:hint="eastAsia" w:eastAsia="仿宋"/>
          <w:bCs/>
          <w:color w:val="000000" w:themeColor="text1"/>
          <w:sz w:val="24"/>
          <w14:textFill>
            <w14:solidFill>
              <w14:schemeClr w14:val="tx1"/>
            </w14:solidFill>
          </w14:textFill>
        </w:rPr>
        <w:t>一定金额以上的资产处置方案，经董事会授权批准公司一定金额以下的资产处置方案</w:t>
      </w:r>
      <w:r>
        <w:rPr>
          <w:rFonts w:eastAsia="仿宋"/>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（十一）拟订公司的</w:t>
      </w:r>
      <w:r>
        <w:rPr>
          <w:rFonts w:hint="eastAsia" w:eastAsia="仿宋"/>
          <w:bCs/>
          <w:color w:val="000000" w:themeColor="text1"/>
          <w:sz w:val="24"/>
          <w14:textFill>
            <w14:solidFill>
              <w14:schemeClr w14:val="tx1"/>
            </w14:solidFill>
          </w14:textFill>
        </w:rPr>
        <w:t>年度财务预算方案、决算方案</w:t>
      </w:r>
      <w:r>
        <w:rPr>
          <w:rFonts w:eastAsia="仿宋"/>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（十二）</w:t>
      </w:r>
      <w:r>
        <w:rPr>
          <w:rFonts w:hint="eastAsia" w:eastAsia="仿宋"/>
          <w:bCs/>
          <w:color w:val="000000" w:themeColor="text1"/>
          <w:sz w:val="24"/>
          <w14:textFill>
            <w14:solidFill>
              <w14:schemeClr w14:val="tx1"/>
            </w14:solidFill>
          </w14:textFill>
        </w:rPr>
        <w:t>拟订公司的利润分配方案和弥补亏损方案；</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（十三）拟订公司的收入分配方案；</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（十四）拟订公司建立风险管理体系、内部控制体系、违规经营投资责任追究工作体系和法律合规管理体系的方案，经董事会批准后组织实施；</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（十五）</w:t>
      </w:r>
      <w:r>
        <w:rPr>
          <w:rFonts w:hint="eastAsia" w:eastAsia="仿宋"/>
          <w:bCs/>
          <w:color w:val="000000" w:themeColor="text1"/>
          <w:sz w:val="24"/>
          <w14:textFill>
            <w14:solidFill>
              <w14:schemeClr w14:val="tx1"/>
            </w14:solidFill>
          </w14:textFill>
        </w:rPr>
        <w:t>拟订重大投资及境外投资方案，经总裁（总经理）办公会审议通过后，应就项目情况与股东会进行预沟通；</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（十六）</w:t>
      </w:r>
      <w:r>
        <w:rPr>
          <w:rFonts w:hint="eastAsia" w:eastAsia="仿宋"/>
          <w:bCs/>
          <w:color w:val="000000" w:themeColor="text1"/>
          <w:sz w:val="24"/>
          <w14:textFill>
            <w14:solidFill>
              <w14:schemeClr w14:val="tx1"/>
            </w14:solidFill>
          </w14:textFill>
        </w:rPr>
        <w:t>决定公司员工的工资、福利、奖惩、录用和辞退；</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（十七）</w:t>
      </w:r>
      <w:r>
        <w:rPr>
          <w:rFonts w:hint="eastAsia" w:eastAsia="仿宋"/>
          <w:bCs/>
          <w:color w:val="000000" w:themeColor="text1"/>
          <w:sz w:val="24"/>
          <w14:textFill>
            <w14:solidFill>
              <w14:schemeClr w14:val="tx1"/>
            </w14:solidFill>
          </w14:textFill>
        </w:rPr>
        <w:t>协调、检查和督促各部门、各分公司、各子企业的生产经营和改革、管理工作；</w:t>
      </w:r>
      <w:r>
        <w:rPr>
          <w:rFonts w:eastAsia="仿宋"/>
          <w:color w:val="000000" w:themeColor="text1"/>
          <w:sz w:val="24"/>
          <w14:textFill>
            <w14:solidFill>
              <w14:schemeClr w14:val="tx1"/>
            </w14:solidFill>
          </w14:textFill>
        </w:rPr>
        <w:br w:type="textWrapping"/>
      </w:r>
      <w:r>
        <w:rPr>
          <w:rFonts w:eastAsia="仿宋"/>
          <w:bCs/>
          <w:color w:val="000000" w:themeColor="text1"/>
          <w:sz w:val="24"/>
          <w14:textFill>
            <w14:solidFill>
              <w14:schemeClr w14:val="tx1"/>
            </w14:solidFill>
          </w14:textFill>
        </w:rPr>
        <w:t xml:space="preserve">    （十八）</w:t>
      </w:r>
      <w:r>
        <w:rPr>
          <w:rFonts w:hint="eastAsia" w:eastAsia="仿宋"/>
          <w:bCs/>
          <w:color w:val="000000" w:themeColor="text1"/>
          <w:sz w:val="24"/>
          <w14:textFill>
            <w14:solidFill>
              <w14:schemeClr w14:val="tx1"/>
            </w14:solidFill>
          </w14:textFill>
        </w:rPr>
        <w:t>提出公司行使所投资企业股东权利所涉及事项的建议；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九）根据董事会决定，建立健全合规管理组织架构；批准合规管理具体制度规定；批准合规管理计划，采取措施确保合规制度得到有效执行；明确合规管理流程，确保合规要求融入业务领域；及时制止并采取措施纠正不合规的经营行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（二十）在法律、法规、规章、规范性文件以及本章程规定和董事会授权的范围内代表公司对外处理日常经营中的事务；</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（二十一）法律、法规、规章、规范性文件以及本章程规定和董事会授权行使的其他职权。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非由董事兼任的总裁（总经理）可以列席董事会会议，但是董事会讨论该总裁（总经理）的薪酬待遇和奖惩聘用等个人事项时除外。</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总裁（总经理）须按照其职责要求定期向董事会报告其工作情况，接受董事会的监督和指导。董事会可以根据公司章程的规定制定总裁（总经理）工作细则。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总裁（总经理）</w:t>
      </w:r>
      <w:r>
        <w:rPr>
          <w:rFonts w:hint="eastAsia" w:hAnsi="仿宋" w:eastAsia="仿宋"/>
          <w:color w:val="000000" w:themeColor="text1"/>
          <w:sz w:val="24"/>
          <w14:textFill>
            <w14:solidFill>
              <w14:schemeClr w14:val="tx1"/>
            </w14:solidFill>
          </w14:textFill>
        </w:rPr>
        <w:t>决定重大经营管理事项，应事先听取公司党委的意见。</w:t>
      </w:r>
    </w:p>
    <w:p>
      <w:pPr>
        <w:numPr>
          <w:ilvl w:val="-1"/>
          <w:numId w:val="0"/>
        </w:numPr>
        <w:spacing w:before="249" w:beforeLines="80" w:after="249" w:afterLines="80" w:line="440" w:lineRule="exact"/>
        <w:ind w:left="426" w:firstLine="0"/>
        <w:rPr>
          <w:rFonts w:eastAsia="仿宋"/>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【说明：公司可以根据实际情况，对</w:t>
      </w:r>
      <w:r>
        <w:rPr>
          <w:rFonts w:eastAsia="仿宋"/>
          <w:b/>
          <w:bCs/>
          <w:color w:val="000000" w:themeColor="text1"/>
          <w:sz w:val="24"/>
          <w14:textFill>
            <w14:solidFill>
              <w14:schemeClr w14:val="tx1"/>
            </w14:solidFill>
          </w14:textFill>
        </w:rPr>
        <w:t>总裁</w:t>
      </w:r>
      <w:r>
        <w:rPr>
          <w:rFonts w:hint="eastAsia" w:eastAsia="仿宋"/>
          <w:b/>
          <w:bCs/>
          <w:color w:val="000000" w:themeColor="text1"/>
          <w:sz w:val="24"/>
          <w14:textFill>
            <w14:solidFill>
              <w14:schemeClr w14:val="tx1"/>
            </w14:solidFill>
          </w14:textFill>
        </w:rPr>
        <w:t>（总经理）</w:t>
      </w:r>
      <w:r>
        <w:rPr>
          <w:rFonts w:hint="eastAsia" w:eastAsia="仿宋"/>
          <w:b/>
          <w:color w:val="000000" w:themeColor="text1"/>
          <w:sz w:val="24"/>
          <w14:textFill>
            <w14:solidFill>
              <w14:schemeClr w14:val="tx1"/>
            </w14:solidFill>
          </w14:textFill>
        </w:rPr>
        <w:t>职权进行调整</w:t>
      </w:r>
      <w:r>
        <w:rPr>
          <w:rFonts w:hint="eastAsia" w:eastAsia="仿宋"/>
          <w:b/>
          <w:color w:val="000000" w:themeColor="text1"/>
          <w:sz w:val="24"/>
          <w:lang w:eastAsia="zh-CN"/>
          <w14:textFill>
            <w14:solidFill>
              <w14:schemeClr w14:val="tx1"/>
            </w14:solidFill>
          </w14:textFill>
        </w:rPr>
        <w:t>。</w:t>
      </w:r>
      <w:r>
        <w:rPr>
          <w:rFonts w:hint="eastAsia" w:eastAsia="仿宋"/>
          <w:b/>
          <w:color w:val="000000" w:themeColor="text1"/>
          <w:sz w:val="24"/>
          <w14:textFill>
            <w14:solidFill>
              <w14:schemeClr w14:val="tx1"/>
            </w14:solidFill>
          </w14:textFill>
        </w:rPr>
        <w:t>】</w:t>
      </w:r>
    </w:p>
    <w:p>
      <w:pPr>
        <w:numPr>
          <w:ilvl w:val="255"/>
          <w:numId w:val="0"/>
        </w:numPr>
        <w:spacing w:before="249" w:beforeLines="80" w:after="249" w:afterLines="80" w:line="440" w:lineRule="exact"/>
        <w:ind w:left="426"/>
        <w:rPr>
          <w:rFonts w:eastAsia="仿宋"/>
          <w:color w:val="000000" w:themeColor="text1"/>
          <w:sz w:val="24"/>
          <w14:textFill>
            <w14:solidFill>
              <w14:schemeClr w14:val="tx1"/>
            </w14:solidFill>
          </w14:textFill>
        </w:rPr>
      </w:pP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[董事会对总裁（总经理）的授权和责任承担]</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董事会可依法将其部分职权以书面方式授予总裁（总经理）行使，但董事会在作出上述授权时应根据</w:t>
      </w:r>
      <w:r>
        <w:rPr>
          <w:rFonts w:hint="eastAsia" w:eastAsia="仿宋"/>
          <w:color w:val="000000" w:themeColor="text1"/>
          <w:sz w:val="24"/>
          <w14:textFill>
            <w14:solidFill>
              <w14:schemeClr w14:val="tx1"/>
            </w14:solidFill>
          </w14:textFill>
        </w:rPr>
        <w:t>法律、法规、规章、规范性文件以及本章程</w:t>
      </w:r>
      <w:r>
        <w:rPr>
          <w:rFonts w:eastAsia="仿宋"/>
          <w:color w:val="000000" w:themeColor="text1"/>
          <w:sz w:val="24"/>
          <w14:textFill>
            <w14:solidFill>
              <w14:schemeClr w14:val="tx1"/>
            </w14:solidFill>
          </w14:textFill>
        </w:rPr>
        <w:t>的规定，不得超越自身的权限，严格控制风险。</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董事会应将授权情况向股东会报告或备案，并对上述授权及授权范围内发生的具体事项承担责任。</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[副总裁（副总经理）的职权]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副总裁（副总经理）协助总裁（总经理）工作并对总裁（总经理）负责，其职权由公司管理制度确定。</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[财务负责人]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总会计师（或财务总监、首席财务官）等财务负责人主管公司财务会计工作。</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总会计师（或财务总监、首席财务官）等财务责任人履行职权时应遵守法律、行政法规和国务院财政部门的规定。</w:t>
      </w:r>
      <w:r>
        <w:rPr>
          <w:rFonts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【说明：有条件的企业可设定财务负责人列席董事会及相关专门委员会会议】</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[高级管理人员的考核、奖惩及方案的制订]</w:t>
      </w:r>
      <w:r>
        <w:rPr>
          <w:rFonts w:hint="eastAsia" w:eastAsia="仿宋"/>
          <w:b/>
          <w:bCs/>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董事会应对高级管理人员设定工作绩效目标并对高级管理人员进行考核和奖惩，具体绩效考核和奖惩由董事会决定。</w:t>
      </w:r>
      <w:r>
        <w:rPr>
          <w:rFonts w:eastAsia="仿宋"/>
          <w:color w:val="000000" w:themeColor="text1"/>
          <w:sz w:val="24"/>
          <w14:textFill>
            <w14:solidFill>
              <w14:schemeClr w14:val="tx1"/>
            </w14:solidFill>
          </w14:textFill>
        </w:rPr>
        <w:br w:type="textWrapping"/>
      </w:r>
    </w:p>
    <w:p>
      <w:pPr>
        <w:pStyle w:val="3"/>
        <w:numPr>
          <w:ilvl w:val="1"/>
          <w:numId w:val="1"/>
        </w:numPr>
        <w:spacing w:before="249" w:beforeLines="80" w:after="249" w:afterLines="80" w:line="440" w:lineRule="exact"/>
        <w:ind w:left="0" w:firstLine="0"/>
        <w:jc w:val="center"/>
        <w:rPr>
          <w:rFonts w:ascii="Times New Roman" w:hAnsi="Times New Roman" w:eastAsia="仿宋"/>
          <w:color w:val="000000" w:themeColor="text1"/>
          <w:sz w:val="24"/>
          <w:szCs w:val="24"/>
          <w14:textFill>
            <w14:solidFill>
              <w14:schemeClr w14:val="tx1"/>
            </w14:solidFill>
          </w14:textFill>
        </w:rPr>
      </w:pPr>
      <w:bookmarkStart w:id="39" w:name="_Toc48290105"/>
      <w:bookmarkStart w:id="40" w:name="_Toc130021881"/>
      <w:r>
        <w:rPr>
          <w:rFonts w:ascii="Times New Roman" w:hAnsi="Times New Roman" w:eastAsia="仿宋"/>
          <w:color w:val="000000" w:themeColor="text1"/>
          <w:sz w:val="24"/>
          <w:szCs w:val="24"/>
          <w14:textFill>
            <w14:solidFill>
              <w14:schemeClr w14:val="tx1"/>
            </w14:solidFill>
          </w14:textFill>
        </w:rPr>
        <w:t>监事会</w:t>
      </w:r>
      <w:bookmarkEnd w:id="39"/>
      <w:bookmarkEnd w:id="40"/>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[监事会的组成]</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公司设监事会的</w:t>
      </w:r>
      <w:r>
        <w:rPr>
          <w:rFonts w:eastAsia="仿宋"/>
          <w:color w:val="000000" w:themeColor="text1"/>
          <w:sz w:val="24"/>
          <w14:textFill>
            <w14:solidFill>
              <w14:schemeClr w14:val="tx1"/>
            </w14:solidFill>
          </w14:textFill>
        </w:rPr>
        <w:t>，监事会</w:t>
      </w:r>
      <w:r>
        <w:rPr>
          <w:rFonts w:hint="eastAsia" w:eastAsia="仿宋"/>
          <w:color w:val="000000" w:themeColor="text1"/>
          <w:sz w:val="24"/>
          <w14:textFill>
            <w14:solidFill>
              <w14:schemeClr w14:val="tx1"/>
            </w14:solidFill>
          </w14:textFill>
        </w:rPr>
        <w:t>由【】名监事组成，其中职工监事【】名。</w:t>
      </w:r>
      <w:r>
        <w:rPr>
          <w:rFonts w:hAnsi="仿宋" w:eastAsia="仿宋"/>
          <w:color w:val="000000" w:themeColor="text1"/>
          <w:sz w:val="24"/>
          <w14:textFill>
            <w14:solidFill>
              <w14:schemeClr w14:val="tx1"/>
            </w14:solidFill>
          </w14:textFill>
        </w:rPr>
        <w:t>职工监事由</w:t>
      </w:r>
      <w:r>
        <w:rPr>
          <w:rFonts w:hint="eastAsia" w:hAnsi="仿宋" w:eastAsia="仿宋"/>
          <w:color w:val="000000" w:themeColor="text1"/>
          <w:sz w:val="24"/>
          <w14:textFill>
            <w14:solidFill>
              <w14:schemeClr w14:val="tx1"/>
            </w14:solidFill>
          </w14:textFill>
        </w:rPr>
        <w:t>工会根据自荐、推荐情况，在充分听取职工意见的基础上提名，经党委审核后，由</w:t>
      </w:r>
      <w:r>
        <w:rPr>
          <w:rFonts w:hAnsi="仿宋" w:eastAsia="仿宋"/>
          <w:color w:val="000000" w:themeColor="text1"/>
          <w:sz w:val="24"/>
          <w14:textFill>
            <w14:solidFill>
              <w14:schemeClr w14:val="tx1"/>
            </w14:solidFill>
          </w14:textFill>
        </w:rPr>
        <w:t>职工代表大会或</w:t>
      </w:r>
      <w:r>
        <w:rPr>
          <w:rFonts w:hint="eastAsia" w:hAnsi="仿宋" w:eastAsia="仿宋"/>
          <w:color w:val="000000" w:themeColor="text1"/>
          <w:sz w:val="24"/>
          <w14:textFill>
            <w14:solidFill>
              <w14:schemeClr w14:val="tx1"/>
            </w14:solidFill>
          </w14:textFill>
        </w:rPr>
        <w:t>者</w:t>
      </w:r>
      <w:r>
        <w:rPr>
          <w:rFonts w:hAnsi="仿宋" w:eastAsia="仿宋"/>
          <w:color w:val="000000" w:themeColor="text1"/>
          <w:sz w:val="24"/>
          <w14:textFill>
            <w14:solidFill>
              <w14:schemeClr w14:val="tx1"/>
            </w14:solidFill>
          </w14:textFill>
        </w:rPr>
        <w:t>职工大会通过无记名投票方式选举产生。</w:t>
      </w:r>
      <w:r>
        <w:rPr>
          <w:rFonts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【说明：</w:t>
      </w:r>
      <w:bookmarkStart w:id="41" w:name="_Hlk54949103"/>
      <w:r>
        <w:rPr>
          <w:rFonts w:hint="eastAsia" w:eastAsia="仿宋"/>
          <w:b/>
          <w:color w:val="000000" w:themeColor="text1"/>
          <w:sz w:val="24"/>
          <w14:textFill>
            <w14:solidFill>
              <w14:schemeClr w14:val="tx1"/>
            </w14:solidFill>
          </w14:textFill>
        </w:rPr>
        <w:t>监事会设监事会主席1人，可以设监事会副主席1人。监事会应当包括股东代表和适当比例的公司职工代表，其中职工代表的比例不得低于三分之一，具体比例由章程规定</w:t>
      </w:r>
      <w:bookmarkEnd w:id="41"/>
      <w:r>
        <w:rPr>
          <w:rFonts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若公司不设监事会的，则设立一至两名监事，由市国资委提名并经股东会选举产生。</w:t>
      </w:r>
      <w:r>
        <w:rPr>
          <w:rFonts w:eastAsia="仿宋"/>
          <w:b/>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 xml:space="preserve"> [监事的产生方式]</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非由职工代表担任的监事由各股东提</w:t>
      </w:r>
      <w:r>
        <w:rPr>
          <w:rFonts w:hint="eastAsia" w:eastAsia="仿宋"/>
          <w:color w:val="000000" w:themeColor="text1"/>
          <w:sz w:val="24"/>
          <w14:textFill>
            <w14:solidFill>
              <w14:schemeClr w14:val="tx1"/>
            </w14:solidFill>
          </w14:textFill>
        </w:rPr>
        <w:t>名并经股东会选举产生。</w:t>
      </w:r>
      <w:r>
        <w:rPr>
          <w:rFonts w:eastAsia="仿宋"/>
          <w:color w:val="000000" w:themeColor="text1"/>
          <w:sz w:val="24"/>
          <w14:textFill>
            <w14:solidFill>
              <w14:schemeClr w14:val="tx1"/>
            </w14:solidFill>
          </w14:textFill>
        </w:rPr>
        <w:t>其中</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股东一</w:t>
      </w:r>
      <w:r>
        <w:rPr>
          <w:rFonts w:hint="eastAsia" w:eastAsia="仿宋"/>
          <w:color w:val="000000" w:themeColor="text1"/>
          <w:sz w:val="24"/>
          <w14:textFill>
            <w14:solidFill>
              <w14:schemeClr w14:val="tx1"/>
            </w14:solidFill>
          </w14:textFill>
        </w:rPr>
        <w:t>名称】</w:t>
      </w:r>
      <w:r>
        <w:rPr>
          <w:rFonts w:eastAsia="仿宋"/>
          <w:color w:val="000000" w:themeColor="text1"/>
          <w:sz w:val="24"/>
          <w14:textFill>
            <w14:solidFill>
              <w14:schemeClr w14:val="tx1"/>
            </w14:solidFill>
          </w14:textFill>
        </w:rPr>
        <w:t>提</w:t>
      </w:r>
      <w:r>
        <w:rPr>
          <w:rFonts w:hint="eastAsia" w:eastAsia="仿宋"/>
          <w:color w:val="000000" w:themeColor="text1"/>
          <w:sz w:val="24"/>
          <w14:textFill>
            <w14:solidFill>
              <w14:schemeClr w14:val="tx1"/>
            </w14:solidFill>
          </w14:textFill>
        </w:rPr>
        <w:t>名</w:t>
      </w:r>
      <w:r>
        <w:rPr>
          <w:rFonts w:eastAsia="仿宋"/>
          <w:color w:val="000000" w:themeColor="text1"/>
          <w:sz w:val="24"/>
          <w14:textFill>
            <w14:solidFill>
              <w14:schemeClr w14:val="tx1"/>
            </w14:solidFill>
          </w14:textFill>
        </w:rPr>
        <w:t>【】名，股东二提</w:t>
      </w:r>
      <w:r>
        <w:rPr>
          <w:rFonts w:hint="eastAsia" w:eastAsia="仿宋"/>
          <w:color w:val="000000" w:themeColor="text1"/>
          <w:sz w:val="24"/>
          <w14:textFill>
            <w14:solidFill>
              <w14:schemeClr w14:val="tx1"/>
            </w14:solidFill>
          </w14:textFill>
        </w:rPr>
        <w:t>名</w:t>
      </w:r>
      <w:r>
        <w:rPr>
          <w:rFonts w:eastAsia="仿宋"/>
          <w:color w:val="000000" w:themeColor="text1"/>
          <w:sz w:val="24"/>
          <w14:textFill>
            <w14:solidFill>
              <w14:schemeClr w14:val="tx1"/>
            </w14:solidFill>
          </w14:textFill>
        </w:rPr>
        <w:t>【】名</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股东三</w:t>
      </w:r>
      <w:r>
        <w:rPr>
          <w:rFonts w:hint="eastAsia" w:eastAsia="仿宋"/>
          <w:color w:val="000000" w:themeColor="text1"/>
          <w:sz w:val="24"/>
          <w14:textFill>
            <w14:solidFill>
              <w14:schemeClr w14:val="tx1"/>
            </w14:solidFill>
          </w14:textFill>
        </w:rPr>
        <w:t>名称】</w:t>
      </w:r>
      <w:r>
        <w:rPr>
          <w:rFonts w:eastAsia="仿宋"/>
          <w:color w:val="000000" w:themeColor="text1"/>
          <w:sz w:val="24"/>
          <w14:textFill>
            <w14:solidFill>
              <w14:schemeClr w14:val="tx1"/>
            </w14:solidFill>
          </w14:textFill>
        </w:rPr>
        <w:t>提</w:t>
      </w:r>
      <w:r>
        <w:rPr>
          <w:rFonts w:hint="eastAsia" w:eastAsia="仿宋"/>
          <w:color w:val="000000" w:themeColor="text1"/>
          <w:sz w:val="24"/>
          <w14:textFill>
            <w14:solidFill>
              <w14:schemeClr w14:val="tx1"/>
            </w14:solidFill>
          </w14:textFill>
        </w:rPr>
        <w:t>名</w:t>
      </w:r>
      <w:r>
        <w:rPr>
          <w:rFonts w:eastAsia="仿宋"/>
          <w:color w:val="000000" w:themeColor="text1"/>
          <w:sz w:val="24"/>
          <w14:textFill>
            <w14:solidFill>
              <w14:schemeClr w14:val="tx1"/>
            </w14:solidFill>
          </w14:textFill>
        </w:rPr>
        <w:t>【】名。</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职工代表担任的监事，由工会根据自荐、推荐情况</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在充分听取职工意见的基础上提名，经党委审核后，由职工代表大会或者职工大会以无记名投票方式选举产生。</w:t>
      </w:r>
    </w:p>
    <w:p>
      <w:pPr>
        <w:numPr>
          <w:ilvl w:val="-1"/>
          <w:numId w:val="0"/>
        </w:numPr>
        <w:spacing w:before="249" w:beforeLines="80" w:after="249" w:afterLines="80" w:line="440" w:lineRule="exact"/>
        <w:ind w:left="426"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lang w:eastAsia="zh-CN"/>
          <w14:textFill>
            <w14:solidFill>
              <w14:schemeClr w14:val="tx1"/>
            </w14:solidFill>
          </w14:textFill>
        </w:rPr>
        <w:t>【</w:t>
      </w:r>
      <w:r>
        <w:rPr>
          <w:rFonts w:eastAsia="仿宋"/>
          <w:b/>
          <w:color w:val="000000" w:themeColor="text1"/>
          <w:sz w:val="24"/>
          <w14:textFill>
            <w14:solidFill>
              <w14:schemeClr w14:val="tx1"/>
            </w14:solidFill>
          </w14:textFill>
        </w:rPr>
        <w:t>说明：</w:t>
      </w:r>
      <w:r>
        <w:rPr>
          <w:rFonts w:hint="eastAsia" w:eastAsia="仿宋"/>
          <w:b/>
          <w:color w:val="000000" w:themeColor="text1"/>
          <w:sz w:val="24"/>
          <w14:textFill>
            <w14:solidFill>
              <w14:schemeClr w14:val="tx1"/>
            </w14:solidFill>
          </w14:textFill>
        </w:rPr>
        <w:t>国有全资公司的</w:t>
      </w:r>
      <w:r>
        <w:rPr>
          <w:rFonts w:hint="eastAsia" w:eastAsia="仿宋"/>
          <w:b/>
          <w:color w:val="000000" w:themeColor="text1"/>
          <w:sz w:val="24"/>
          <w:lang w:eastAsia="zh-CN"/>
          <w14:textFill>
            <w14:solidFill>
              <w14:schemeClr w14:val="tx1"/>
            </w14:solidFill>
          </w14:textFill>
        </w:rPr>
        <w:t>外派监事</w:t>
      </w:r>
      <w:r>
        <w:rPr>
          <w:rFonts w:hint="eastAsia" w:eastAsia="仿宋"/>
          <w:b/>
          <w:color w:val="000000" w:themeColor="text1"/>
          <w:sz w:val="24"/>
          <w14:textFill>
            <w14:solidFill>
              <w14:schemeClr w14:val="tx1"/>
            </w14:solidFill>
          </w14:textFill>
        </w:rPr>
        <w:t>人选由</w:t>
      </w:r>
      <w:r>
        <w:rPr>
          <w:rFonts w:hint="eastAsia" w:eastAsia="仿宋"/>
          <w:b/>
          <w:color w:val="000000" w:themeColor="text1"/>
          <w:sz w:val="24"/>
          <w:lang w:eastAsia="zh-CN"/>
          <w14:textFill>
            <w14:solidFill>
              <w14:schemeClr w14:val="tx1"/>
            </w14:solidFill>
          </w14:textFill>
        </w:rPr>
        <w:t>市国资委推荐</w:t>
      </w:r>
      <w:r>
        <w:rPr>
          <w:rFonts w:hint="eastAsia" w:eastAsia="仿宋"/>
          <w:b/>
          <w:color w:val="000000" w:themeColor="text1"/>
          <w:sz w:val="24"/>
          <w14:textFill>
            <w14:solidFill>
              <w14:schemeClr w14:val="tx1"/>
            </w14:solidFill>
          </w14:textFill>
        </w:rPr>
        <w:t>；国有控股公司</w:t>
      </w:r>
      <w:r>
        <w:rPr>
          <w:rFonts w:hint="eastAsia" w:eastAsia="仿宋"/>
          <w:b/>
          <w:color w:val="000000" w:themeColor="text1"/>
          <w:sz w:val="24"/>
          <w:lang w:eastAsia="zh-CN"/>
          <w14:textFill>
            <w14:solidFill>
              <w14:schemeClr w14:val="tx1"/>
            </w14:solidFill>
          </w14:textFill>
        </w:rPr>
        <w:t>中国有股东提名的外派监事由市国资委推荐</w:t>
      </w:r>
      <w:r>
        <w:rPr>
          <w:rFonts w:hint="eastAsia" w:eastAsia="仿宋"/>
          <w:color w:val="000000" w:themeColor="text1"/>
          <w:sz w:val="24"/>
          <w:lang w:eastAsia="zh-CN"/>
          <w14:textFill>
            <w14:solidFill>
              <w14:schemeClr w14:val="tx1"/>
            </w14:solidFill>
          </w14:textFill>
        </w:rPr>
        <w:t>】</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[监事的身份限制]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董事、高级管理人员及与其相关的人员（指与其相关的</w:t>
      </w:r>
      <w:r>
        <w:rPr>
          <w:rFonts w:hint="eastAsia" w:eastAsia="仿宋"/>
          <w:color w:val="000000" w:themeColor="text1"/>
          <w:sz w:val="24"/>
          <w14:textFill>
            <w14:solidFill>
              <w14:schemeClr w14:val="tx1"/>
            </w14:solidFill>
          </w14:textFill>
        </w:rPr>
        <w:t>第九十七条</w:t>
      </w:r>
      <w:r>
        <w:rPr>
          <w:rFonts w:eastAsia="仿宋"/>
          <w:color w:val="000000" w:themeColor="text1"/>
          <w:sz w:val="24"/>
          <w14:textFill>
            <w14:solidFill>
              <w14:schemeClr w14:val="tx1"/>
            </w14:solidFill>
          </w14:textFill>
        </w:rPr>
        <w:t>中规定的自然人）不得兼任监事。</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[监事任期]</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监事任期每届三年。</w:t>
      </w:r>
      <w:r>
        <w:rPr>
          <w:rFonts w:hint="eastAsia" w:eastAsia="仿宋"/>
          <w:color w:val="000000" w:themeColor="text1"/>
          <w:sz w:val="24"/>
          <w14:textFill>
            <w14:solidFill>
              <w14:schemeClr w14:val="tx1"/>
            </w14:solidFill>
          </w14:textFill>
        </w:rPr>
        <w:t>获得连续委派或者连续当选可以连任。</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监事任期届满未及时改选，或者监事在任期内辞职导致监事会成员低于法定人数的，在改选出的监事就任前，原监事仍应当依照</w:t>
      </w:r>
      <w:r>
        <w:rPr>
          <w:rFonts w:hint="eastAsia" w:eastAsia="仿宋"/>
          <w:color w:val="000000" w:themeColor="text1"/>
          <w:sz w:val="24"/>
          <w14:textFill>
            <w14:solidFill>
              <w14:schemeClr w14:val="tx1"/>
            </w14:solidFill>
          </w14:textFill>
        </w:rPr>
        <w:t>法律、法规、规章、规范性文件以及本章程</w:t>
      </w:r>
      <w:r>
        <w:rPr>
          <w:rFonts w:eastAsia="仿宋"/>
          <w:color w:val="000000" w:themeColor="text1"/>
          <w:sz w:val="24"/>
          <w14:textFill>
            <w14:solidFill>
              <w14:schemeClr w14:val="tx1"/>
            </w14:solidFill>
          </w14:textFill>
        </w:rPr>
        <w:t>的规定，履行监事职务。</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在监事会人数不足本章程规定的情况下，已经委派或选举产生的监事会主席、监事单独或共同行使本节规定的监事会职权。</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[监事会主席]</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监事会设监事会主席一名，由</w:t>
      </w:r>
      <w:r>
        <w:rPr>
          <w:rFonts w:hint="eastAsia" w:eastAsia="仿宋"/>
          <w:color w:val="000000" w:themeColor="text1"/>
          <w:sz w:val="24"/>
          <w14:textFill>
            <w14:solidFill>
              <w14:schemeClr w14:val="tx1"/>
            </w14:solidFill>
          </w14:textFill>
        </w:rPr>
        <w:t>全体监事过半数选举产生。监事会主席</w:t>
      </w:r>
      <w:r>
        <w:rPr>
          <w:rFonts w:eastAsia="仿宋"/>
          <w:color w:val="000000" w:themeColor="text1"/>
          <w:sz w:val="24"/>
          <w14:textFill>
            <w14:solidFill>
              <w14:schemeClr w14:val="tx1"/>
            </w14:solidFill>
          </w14:textFill>
        </w:rPr>
        <w:t>行使以下职权：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（一）召集、主持监事会会议，决定是否召开临时监事会会议；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（二）检查监事会决议的实施情况，并向监事会报告决议的执行结果；</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（三）代表监事会向股东会报告工作；</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（四）审定、签署监事会的决议、报告和其他重要文件；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（五）本章程其他条款规定的职权。    </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[监事会办事机构和监事会秘书]</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会可以设办事机构或在不影响其行使监督职能的前提下与公司其他部门合署办公。监事会可以设专职或兼职秘书，负责监事会日常事务，筹备监事会会议，与监事沟通信息提供服务等事项。监事会秘书由监事会任命。</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bookmarkStart w:id="42" w:name="_Hlk47973561"/>
      <w:r>
        <w:rPr>
          <w:rFonts w:hAnsi="仿宋" w:eastAsia="仿宋"/>
          <w:b/>
          <w:color w:val="000000" w:themeColor="text1"/>
          <w:sz w:val="24"/>
          <w14:textFill>
            <w14:solidFill>
              <w14:schemeClr w14:val="tx1"/>
            </w14:solidFill>
          </w14:textFill>
        </w:rPr>
        <w:t>[</w:t>
      </w:r>
      <w:bookmarkStart w:id="43" w:name="_Hlk46845415"/>
      <w:r>
        <w:rPr>
          <w:rFonts w:hint="eastAsia" w:hAnsi="仿宋" w:eastAsia="仿宋"/>
          <w:b/>
          <w:color w:val="000000" w:themeColor="text1"/>
          <w:sz w:val="24"/>
          <w14:textFill>
            <w14:solidFill>
              <w14:schemeClr w14:val="tx1"/>
            </w14:solidFill>
          </w14:textFill>
        </w:rPr>
        <w:t>监事列席公司有关会议</w:t>
      </w:r>
      <w:r>
        <w:rPr>
          <w:rFonts w:hAnsi="仿宋" w:eastAsia="仿宋"/>
          <w:b/>
          <w:color w:val="000000" w:themeColor="text1"/>
          <w:sz w:val="24"/>
          <w14:textFill>
            <w14:solidFill>
              <w14:schemeClr w14:val="tx1"/>
            </w14:solidFill>
          </w14:textFill>
        </w:rPr>
        <w:t>]</w:t>
      </w:r>
      <w:bookmarkEnd w:id="42"/>
      <w:bookmarkEnd w:id="43"/>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公司决定召开董事会、职工代表大会或者职工大会，应当在会议召开5日前以书面形式通知监事参加。总裁（总经理）办公会及其他会议议题涉及股东会、董事会要求报告的重大事项时，应当事先通知监事参加。</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董事会、总裁（总经理）召开投资决策会议的，监事会主席或其指定代表、内部监督机构负责人应当列席。</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监事会行使以下职权：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（一）检查公司贯彻有关法律、行政法规、国有资产监督管理规定和制度以及其他规章制度的情况；</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（二）检查公司财务，包括查阅公司的财务会计报告及其相关资料，检查财务状况、资产质量等情况，对公司重大风险、重大问题提出预警和报告；</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（三）检查公司的战略规划、经营预算、经营效益、利润分配、国有资产保值增值、资产运营、经营责任合同的执行情况；</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检查公司贯彻执行《中华人民共和国劳动法》、《中华人民共和国劳动合同法》等涉及职工切身利益事项的法律法规和规章制度情况，建立集体协商集体合同、职代会民主管理、劳动争议调处制度等情况，以及落实职工代表大会或者职工大会审议通过事项情况；</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（五）监督公司内部控制制度、风险防范体系、产权监督网络的建设及运行情况；</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（六）对董事、高级管理人员执行公司职务的行为进行监督，对违反法律</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法规</w:t>
      </w:r>
      <w:r>
        <w:rPr>
          <w:rFonts w:hint="eastAsia" w:eastAsia="仿宋"/>
          <w:color w:val="000000" w:themeColor="text1"/>
          <w:sz w:val="24"/>
          <w14:textFill>
            <w14:solidFill>
              <w14:schemeClr w14:val="tx1"/>
            </w14:solidFill>
          </w14:textFill>
        </w:rPr>
        <w:t>、规章、规范性文件</w:t>
      </w:r>
      <w:r>
        <w:rPr>
          <w:rFonts w:eastAsia="仿宋"/>
          <w:color w:val="000000" w:themeColor="text1"/>
          <w:sz w:val="24"/>
          <w14:textFill>
            <w14:solidFill>
              <w14:schemeClr w14:val="tx1"/>
            </w14:solidFill>
          </w14:textFill>
        </w:rPr>
        <w:t>和本章程或者股东会决</w:t>
      </w:r>
      <w:r>
        <w:rPr>
          <w:rFonts w:hint="eastAsia" w:eastAsia="仿宋"/>
          <w:color w:val="000000" w:themeColor="text1"/>
          <w:sz w:val="24"/>
          <w14:textFill>
            <w14:solidFill>
              <w14:schemeClr w14:val="tx1"/>
            </w14:solidFill>
          </w14:textFill>
        </w:rPr>
        <w:t>议</w:t>
      </w:r>
      <w:r>
        <w:rPr>
          <w:rFonts w:eastAsia="仿宋"/>
          <w:color w:val="000000" w:themeColor="text1"/>
          <w:sz w:val="24"/>
          <w14:textFill>
            <w14:solidFill>
              <w14:schemeClr w14:val="tx1"/>
            </w14:solidFill>
          </w14:textFill>
        </w:rPr>
        <w:t>的董事、高级管理人员提出惩处和罢免的建议；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（七）当董事、高级管理人员的行为损害公司的利益时，要求董事、高级管理人员予以纠正；</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（八）监督公司投资管理制度的制订和执行情况，根据股东会的要求，开展重大投资项目专项督查和后评估；</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（九）发现公司投资活动存在重大问题的，及时向董事会提示风险并报告股东会；</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（十）监督董事会的决策与流程是否合规；监督董事和高级管理人员合规管理职责履行情况；</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（十一）对引发重大合规风险负有主要责任的董事、高级管理人员提出罢免的建议；向董事会提出撤换公司合规管理负责人的建议；</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（十二）对工资分配进行监督；</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（十三）对依法治企情况和董事、高级管理人员依法履职情况的监督；</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（十四）提请召开临时股东会会议，在董事会不履行法律、法规、规章、规范性文件或本章程规定的召集和主持股东会会议职责时召集和主持股东会会议；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（十五）向股东会报告其认为股东会有必要知晓的事项；</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（十六）法律、法规、规章、规范性文件以及本章程规定及股东会授权行使的其他事项。</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监事可以列席董事会和各专门委员会会议，并对会议决议事项提出质询或者建议。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监事会发现公司经营情况异常，可以进行调查并在必要时聘请会计、法律专业中介机构协助其工作。监事会行使职权所必需的费用，由公司承担。</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[监事会的知情权]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为监事会提供必要的办公条件，协助监事会履行职责。监事会在行使职权时，可以进行必要的调查工作，除有权向财政、工商、税务、审计、海关等有关部门和银行、重要客户调查了解公司的情况外，有权要求董事会、高级管理人员、公司业务部门向其提供必要的资料，董事会、高级管理人员、公司业务部门必须配合监事会工作，按照监事会的要求及时提供真实、充分的资料。除总裁（总经理）外的其他高级管理人员或公司业务部门不予以配合的，监事会有权要求总裁（总经理）责令其配合；总裁（总经理）不予以配合的，监事会有权要求董事会责令其配合；董事会不予以配合的，监事会有权将有关情况提交股东会。</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必要时，监事会可以就其职权范围内的事项直接向</w:t>
      </w:r>
      <w:r>
        <w:rPr>
          <w:rFonts w:hint="eastAsia" w:eastAsia="仿宋"/>
          <w:color w:val="000000" w:themeColor="text1"/>
          <w:sz w:val="24"/>
          <w14:textFill>
            <w14:solidFill>
              <w14:schemeClr w14:val="tx1"/>
            </w14:solidFill>
          </w14:textFill>
        </w:rPr>
        <w:t>股东会</w:t>
      </w:r>
      <w:r>
        <w:rPr>
          <w:rFonts w:eastAsia="仿宋"/>
          <w:color w:val="000000" w:themeColor="text1"/>
          <w:sz w:val="24"/>
          <w14:textFill>
            <w14:solidFill>
              <w14:schemeClr w14:val="tx1"/>
            </w14:solidFill>
          </w14:textFill>
        </w:rPr>
        <w:t>报告，请求</w:t>
      </w:r>
      <w:r>
        <w:rPr>
          <w:rFonts w:hint="eastAsia" w:eastAsia="仿宋"/>
          <w:color w:val="000000" w:themeColor="text1"/>
          <w:sz w:val="24"/>
          <w14:textFill>
            <w14:solidFill>
              <w14:schemeClr w14:val="tx1"/>
            </w14:solidFill>
          </w14:textFill>
        </w:rPr>
        <w:t>股东会</w:t>
      </w:r>
      <w:r>
        <w:rPr>
          <w:rFonts w:eastAsia="仿宋"/>
          <w:color w:val="000000" w:themeColor="text1"/>
          <w:sz w:val="24"/>
          <w14:textFill>
            <w14:solidFill>
              <w14:schemeClr w14:val="tx1"/>
            </w14:solidFill>
          </w14:textFill>
        </w:rPr>
        <w:t>的配合和支持。</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[监事会汇报制度]</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监事会就其行使职权情况向股东会以书面方式汇报。汇报包括：</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（一）监事会需每年向股东会提交监事会工作报告，该报告应详细说明监事会在当年度的工作情况以及公司各方面运作的合法性；</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（二）对公司重大事项形成的董事会决议，监事会应及时进行审核；</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（三）监事会在监督检查或行使职权过程中发现公司经营行为有可能危及国有资产安全、造成国有资产流失或者侵害国有资产所有者权益以及监事会认为应当立即报告的其他紧急情况，应及时向股东会</w:t>
      </w:r>
      <w:r>
        <w:rPr>
          <w:rStyle w:val="31"/>
          <w:rFonts w:eastAsia="仿宋"/>
          <w:color w:val="000000" w:themeColor="text1"/>
          <w:sz w:val="24"/>
          <w:szCs w:val="24"/>
          <w14:textFill>
            <w14:solidFill>
              <w14:schemeClr w14:val="tx1"/>
            </w14:solidFill>
          </w14:textFill>
        </w:rPr>
        <w:t>和市国资委</w:t>
      </w:r>
      <w:r>
        <w:rPr>
          <w:rFonts w:eastAsia="仿宋"/>
          <w:color w:val="000000" w:themeColor="text1"/>
          <w:sz w:val="24"/>
          <w14:textFill>
            <w14:solidFill>
              <w14:schemeClr w14:val="tx1"/>
            </w14:solidFill>
          </w14:textFill>
        </w:rPr>
        <w:t>专项报告，实行一事一报制度。</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[监事会会议和年度会议]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监事会每年应至少召开两次会议，其中在年度董事会会议举行后应适时召开年度监事会会议。监事可以提议召开临时监事会会议。</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[监事会会议的召开]</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发生以下情形之一时，应召开监事会会议：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（一）三分之一以上监事提议时；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（二）监事会主席认为必要时；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（三）董事会召开并通过重大事项时；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（四）股东</w:t>
      </w:r>
      <w:r>
        <w:rPr>
          <w:rFonts w:hint="eastAsia" w:eastAsia="仿宋"/>
          <w:color w:val="000000" w:themeColor="text1"/>
          <w:sz w:val="24"/>
          <w14:textFill>
            <w14:solidFill>
              <w14:schemeClr w14:val="tx1"/>
            </w14:solidFill>
          </w14:textFill>
        </w:rPr>
        <w:t>会</w:t>
      </w:r>
      <w:r>
        <w:rPr>
          <w:rFonts w:eastAsia="仿宋"/>
          <w:color w:val="000000" w:themeColor="text1"/>
          <w:sz w:val="24"/>
          <w14:textFill>
            <w14:solidFill>
              <w14:schemeClr w14:val="tx1"/>
            </w14:solidFill>
          </w14:textFill>
        </w:rPr>
        <w:t>认为必要时。</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[监事会会议的召集和主持]</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监事会会议由监事会主席召集和主持；监事会主席不能履行职务或者不履行职务的，由半数以上监事共同推举一名监事召集和主持监事会会议。</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[监事会会议召开的条件]</w:t>
      </w:r>
      <w:bookmarkStart w:id="44" w:name="OLE_LINK10"/>
      <w:bookmarkStart w:id="45" w:name="OLE_LINK9"/>
      <w:r>
        <w:rPr>
          <w:rFonts w:eastAsia="仿宋"/>
          <w:b/>
          <w:bCs/>
          <w:color w:val="000000" w:themeColor="text1"/>
          <w:sz w:val="24"/>
          <w14:textFill>
            <w14:solidFill>
              <w14:schemeClr w14:val="tx1"/>
            </w14:solidFill>
          </w14:textFill>
        </w:rPr>
        <w:br w:type="textWrapping"/>
      </w:r>
      <w:bookmarkEnd w:id="44"/>
      <w:bookmarkEnd w:id="45"/>
      <w:r>
        <w:rPr>
          <w:rFonts w:eastAsia="仿宋"/>
          <w:color w:val="000000" w:themeColor="text1"/>
          <w:sz w:val="24"/>
          <w14:textFill>
            <w14:solidFill>
              <w14:schemeClr w14:val="tx1"/>
            </w14:solidFill>
          </w14:textFill>
        </w:rPr>
        <w:t xml:space="preserve">    监事会会议在过半数监事出席时方可召开。</w:t>
      </w:r>
      <w:r>
        <w:rPr>
          <w:rFonts w:eastAsia="仿宋"/>
          <w:b/>
          <w:bCs/>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[委托其他监事出席]</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应亲自出席监事会会议，不能亲自出席的，可以委托其他监事出席，但必须向受托人出具有效的委托书，委托书上必须载明对于各项列入表决程序议案的明确意见或授权受托人行使表决权，否则视为委托人对有关的议案未投票。</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[监事会会议召开的方式]</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监事会会议召开形式及议程应保证给予所有监事充分发表意见和真实表达意思的机会。</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会会议以现场会的形式举行，在保证与会监事能充分发表意见并真实表达意思的前提下，也可以通讯方式或者书面材料审议方式举行。但是，年度监事会会议以及任何监事认为应当以现场会形式举行的其它监事会会议，必须以现场会形式举行。</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[监事会会议表决方式]</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监事会会议表决程序应以记名方式进行。</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[监事会会议的表决]</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监事会会议进行表决时，每名监事享有一票表决权，表决事项应得到全体监事过半数同意方可通过。</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[监事会会议记录]</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无论是否采取现场会形式召开，监事会会议应对所议事项的决定做成会议记录。出席会议的监事应在会议记录上签名。会议记录应妥善保存于公司。</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[监事会议事规则的制定]</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监事会可以根据本章程制定具体的监事会议事规则。</w:t>
      </w:r>
      <w:r>
        <w:rPr>
          <w:rFonts w:eastAsia="仿宋"/>
          <w:color w:val="000000" w:themeColor="text1"/>
          <w:sz w:val="24"/>
          <w14:textFill>
            <w14:solidFill>
              <w14:schemeClr w14:val="tx1"/>
            </w14:solidFill>
          </w14:textFill>
        </w:rPr>
        <w:br w:type="textWrapping"/>
      </w:r>
    </w:p>
    <w:p>
      <w:pPr>
        <w:pStyle w:val="2"/>
        <w:numPr>
          <w:ilvl w:val="0"/>
          <w:numId w:val="1"/>
        </w:numPr>
        <w:spacing w:before="249" w:beforeLines="80" w:after="249" w:afterLines="80" w:line="440" w:lineRule="exact"/>
        <w:ind w:left="0" w:firstLine="0"/>
        <w:jc w:val="center"/>
        <w:rPr>
          <w:rFonts w:eastAsia="仿宋"/>
          <w:color w:val="000000" w:themeColor="text1"/>
          <w:sz w:val="24"/>
          <w:szCs w:val="24"/>
          <w14:textFill>
            <w14:solidFill>
              <w14:schemeClr w14:val="tx1"/>
            </w14:solidFill>
          </w14:textFill>
        </w:rPr>
      </w:pPr>
      <w:bookmarkStart w:id="46" w:name="_Toc48290106"/>
      <w:bookmarkStart w:id="47" w:name="_Toc130021882"/>
      <w:r>
        <w:rPr>
          <w:rFonts w:eastAsia="仿宋"/>
          <w:color w:val="000000" w:themeColor="text1"/>
          <w:sz w:val="24"/>
          <w:szCs w:val="24"/>
          <w14:textFill>
            <w14:solidFill>
              <w14:schemeClr w14:val="tx1"/>
            </w14:solidFill>
          </w14:textFill>
        </w:rPr>
        <w:t>董事、监事及高级管理人员的资格、义务及法律责任</w:t>
      </w:r>
      <w:bookmarkEnd w:id="46"/>
      <w:bookmarkEnd w:id="47"/>
    </w:p>
    <w:p>
      <w:pPr>
        <w:pStyle w:val="3"/>
        <w:numPr>
          <w:ilvl w:val="1"/>
          <w:numId w:val="1"/>
        </w:numPr>
        <w:spacing w:before="249" w:beforeLines="80" w:after="249" w:afterLines="80" w:line="440" w:lineRule="exact"/>
        <w:ind w:left="0" w:firstLine="0"/>
        <w:jc w:val="center"/>
        <w:rPr>
          <w:rFonts w:ascii="Times New Roman" w:hAnsi="Times New Roman" w:eastAsia="仿宋"/>
          <w:color w:val="000000" w:themeColor="text1"/>
          <w:sz w:val="24"/>
          <w:szCs w:val="24"/>
          <w14:textFill>
            <w14:solidFill>
              <w14:schemeClr w14:val="tx1"/>
            </w14:solidFill>
          </w14:textFill>
        </w:rPr>
      </w:pPr>
      <w:bookmarkStart w:id="48" w:name="_Toc48290107"/>
      <w:bookmarkStart w:id="49" w:name="_Toc130021883"/>
      <w:r>
        <w:rPr>
          <w:rFonts w:ascii="Times New Roman" w:hAnsi="Times New Roman" w:eastAsia="仿宋"/>
          <w:color w:val="000000" w:themeColor="text1"/>
          <w:sz w:val="24"/>
          <w:szCs w:val="24"/>
          <w14:textFill>
            <w14:solidFill>
              <w14:schemeClr w14:val="tx1"/>
            </w14:solidFill>
          </w14:textFill>
        </w:rPr>
        <w:t>任职资格以及忠实</w:t>
      </w:r>
      <w:r>
        <w:rPr>
          <w:rFonts w:hint="eastAsia" w:ascii="Times New Roman" w:hAnsi="Times New Roman" w:eastAsia="仿宋"/>
          <w:color w:val="000000" w:themeColor="text1"/>
          <w:sz w:val="24"/>
          <w:szCs w:val="24"/>
          <w14:textFill>
            <w14:solidFill>
              <w14:schemeClr w14:val="tx1"/>
            </w14:solidFill>
          </w14:textFill>
        </w:rPr>
        <w:t>、</w:t>
      </w:r>
      <w:r>
        <w:rPr>
          <w:rFonts w:ascii="Times New Roman" w:hAnsi="Times New Roman" w:eastAsia="仿宋"/>
          <w:color w:val="000000" w:themeColor="text1"/>
          <w:sz w:val="24"/>
          <w:szCs w:val="24"/>
          <w14:textFill>
            <w14:solidFill>
              <w14:schemeClr w14:val="tx1"/>
            </w14:solidFill>
          </w14:textFill>
        </w:rPr>
        <w:t>勤勉</w:t>
      </w:r>
      <w:r>
        <w:rPr>
          <w:rFonts w:hint="eastAsia" w:ascii="Times New Roman" w:hAnsi="Times New Roman" w:eastAsia="仿宋"/>
          <w:color w:val="000000" w:themeColor="text1"/>
          <w:sz w:val="24"/>
          <w:szCs w:val="24"/>
          <w14:textFill>
            <w14:solidFill>
              <w14:schemeClr w14:val="tx1"/>
            </w14:solidFill>
          </w14:textFill>
        </w:rPr>
        <w:t>和诚信</w:t>
      </w:r>
      <w:r>
        <w:rPr>
          <w:rFonts w:ascii="Times New Roman" w:hAnsi="Times New Roman" w:eastAsia="仿宋"/>
          <w:color w:val="000000" w:themeColor="text1"/>
          <w:sz w:val="24"/>
          <w:szCs w:val="24"/>
          <w14:textFill>
            <w14:solidFill>
              <w14:schemeClr w14:val="tx1"/>
            </w14:solidFill>
          </w14:textFill>
        </w:rPr>
        <w:t>义务</w:t>
      </w:r>
      <w:bookmarkEnd w:id="48"/>
      <w:bookmarkEnd w:id="49"/>
    </w:p>
    <w:p>
      <w:pPr>
        <w:numPr>
          <w:ilvl w:val="0"/>
          <w:numId w:val="2"/>
        </w:numPr>
        <w:spacing w:before="249" w:beforeLines="80" w:after="249" w:afterLines="80" w:line="440" w:lineRule="exact"/>
        <w:ind w:left="0" w:firstLine="426"/>
        <w:rPr>
          <w:rFonts w:eastAsia="仿宋"/>
          <w:b/>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[董事、监事、高级管理人员的任职条件]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董事、监事、高级管理人员，应当具备以下条件：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（一）有良好的品行；</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（二）有符合职位要求的专业知识和工作能力；</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（三）有能够正常履行职责的身体条件；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w:t>
      </w:r>
      <w:r>
        <w:rPr>
          <w:rFonts w:hint="eastAsia" w:eastAsia="仿宋"/>
          <w:color w:val="000000" w:themeColor="text1"/>
          <w:sz w:val="24"/>
          <w14:textFill>
            <w14:solidFill>
              <w14:schemeClr w14:val="tx1"/>
            </w14:solidFill>
          </w14:textFill>
        </w:rPr>
        <w:t>法律、法规、规章、规范性文件以及本章程</w:t>
      </w:r>
      <w:r>
        <w:rPr>
          <w:rFonts w:eastAsia="仿宋"/>
          <w:color w:val="000000" w:themeColor="text1"/>
          <w:sz w:val="24"/>
          <w14:textFill>
            <w14:solidFill>
              <w14:schemeClr w14:val="tx1"/>
            </w14:solidFill>
          </w14:textFill>
        </w:rPr>
        <w:t>规定的其他条件。</w:t>
      </w:r>
      <w:r>
        <w:rPr>
          <w:rFonts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【说明：</w:t>
      </w:r>
      <w:r>
        <w:rPr>
          <w:rFonts w:hint="eastAsia" w:eastAsia="仿宋"/>
          <w:b/>
          <w:color w:val="000000" w:themeColor="text1"/>
          <w:sz w:val="24"/>
          <w14:textFill>
            <w14:solidFill>
              <w14:schemeClr w14:val="tx1"/>
            </w14:solidFill>
          </w14:textFill>
        </w:rPr>
        <w:t>公司</w:t>
      </w:r>
      <w:r>
        <w:rPr>
          <w:rFonts w:eastAsia="仿宋"/>
          <w:b/>
          <w:color w:val="000000" w:themeColor="text1"/>
          <w:sz w:val="24"/>
          <w14:textFill>
            <w14:solidFill>
              <w14:schemeClr w14:val="tx1"/>
            </w14:solidFill>
          </w14:textFill>
        </w:rPr>
        <w:t xml:space="preserve">可以根据自身情况，行业特点，设定高管的专业资质、任职经历等其它条件】    </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[董事、监事、高级管理人员的任职限制]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有以下情形之一的，不得担任公司的董事、监事、高级管理人员：</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（一）无民事行为能力或者限制民事行为能力；</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（二）因贪污、贿赂、侵占财产、挪用财产或者破坏社会主义市场经济秩序，被判处刑罚，执行期满未逾五年，或者因犯罪被剥夺政治权利，执行期满未逾五年；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（三）担任破产清算的公司、企业的董事或者厂长、经理，对该公司、企业的破产负有个人责任的，自该公司、企业破产清算完结之日起未逾三年；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（四）担任因违法被吊销企业法人营业执照、责令关闭的公司、企业的法定代表人，并负有个人责任的，自该公司、企业被吊销企业法人营业执照之日起未逾三年；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（五）个人所负数额较大的债务到期未清偿。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已获得委派或选举董事、监事或者聘任高级管理人员不符合上述规定的，对其委派、选举或者聘任的决定无效。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董事、监事、高级管理人员在任职期间出现本条第一款所列情形的，股东会或公司应当解除其职务。</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82" w:firstLineChars="20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董事、监事、高级管理人员对公司的</w:t>
      </w:r>
      <w:r>
        <w:rPr>
          <w:rFonts w:hAnsi="仿宋" w:eastAsia="仿宋"/>
          <w:b/>
          <w:color w:val="000000" w:themeColor="text1"/>
          <w:sz w:val="24"/>
          <w14:textFill>
            <w14:solidFill>
              <w14:schemeClr w14:val="tx1"/>
            </w14:solidFill>
          </w14:textFill>
        </w:rPr>
        <w:t>忠实</w:t>
      </w:r>
      <w:r>
        <w:rPr>
          <w:rFonts w:hint="eastAsia" w:hAnsi="仿宋" w:eastAsia="仿宋"/>
          <w:b/>
          <w:color w:val="000000" w:themeColor="text1"/>
          <w:sz w:val="24"/>
          <w14:textFill>
            <w14:solidFill>
              <w14:schemeClr w14:val="tx1"/>
            </w14:solidFill>
          </w14:textFill>
        </w:rPr>
        <w:t>、勤勉</w:t>
      </w:r>
      <w:r>
        <w:rPr>
          <w:rFonts w:hAnsi="仿宋" w:eastAsia="仿宋"/>
          <w:b/>
          <w:color w:val="000000" w:themeColor="text1"/>
          <w:sz w:val="24"/>
          <w14:textFill>
            <w14:solidFill>
              <w14:schemeClr w14:val="tx1"/>
            </w14:solidFill>
          </w14:textFill>
        </w:rPr>
        <w:t>和诚信</w:t>
      </w:r>
      <w:r>
        <w:rPr>
          <w:rFonts w:hint="eastAsia" w:hAnsi="仿宋" w:eastAsia="仿宋"/>
          <w:b/>
          <w:color w:val="000000" w:themeColor="text1"/>
          <w:sz w:val="24"/>
          <w14:textFill>
            <w14:solidFill>
              <w14:schemeClr w14:val="tx1"/>
            </w14:solidFill>
          </w14:textFill>
        </w:rPr>
        <w:t>义务</w:t>
      </w:r>
      <w:r>
        <w:rPr>
          <w:rFonts w:eastAsia="仿宋"/>
          <w:b/>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董事、监事和高级管理人员应当遵守法律、法规、规章、规范性文件以及本章程，对公司负有下列忠实、勤勉和诚信义务：</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（一）诚信守法，遵守本章程，忠实履行职责，维护股东和公司的合法权益，保守履职中所知悉的国家秘密和公司商业秘密、技术秘密，履行竞业禁止义务；</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（二）遵守国有企业领导人员廉洁从业的规定，不得违反</w:t>
      </w:r>
      <w:r>
        <w:rPr>
          <w:rFonts w:hint="eastAsia" w:eastAsia="仿宋"/>
          <w:color w:val="000000" w:themeColor="text1"/>
          <w:sz w:val="24"/>
          <w14:textFill>
            <w14:solidFill>
              <w14:schemeClr w14:val="tx1"/>
            </w14:solidFill>
          </w14:textFill>
        </w:rPr>
        <w:t>法律、法规、规章、规范性文件以及本章程</w:t>
      </w:r>
      <w:r>
        <w:rPr>
          <w:rFonts w:hint="eastAsia" w:hAnsi="仿宋" w:eastAsia="仿宋"/>
          <w:color w:val="000000" w:themeColor="text1"/>
          <w:sz w:val="24"/>
          <w14:textFill>
            <w14:solidFill>
              <w14:schemeClr w14:val="tx1"/>
            </w14:solidFill>
          </w14:textFill>
        </w:rPr>
        <w:t>对董事、监事、高级管理人员忠实和勤勉尽责的规定和要求，不得利用职权收受贿赂或者其他非法收入，不得侵占公司的财产、利益及对公司有利的商业机会，不得擅自以公司财产为他人提供担保；</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（三）遵守诚信原则，以公司最大利益为出发点行事，且应在其职权范围内行使权利，不得越权，不得利用职务便利为本人或者他人谋取利益，不得违规接受报酬，工作补贴、福利待遇和馈赠；</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（四）熟悉和持续关注公司生产经营和改革发展情况，投入足够的时间和精力，认真勤勉履行职责，出席会议应及时了解和掌握充分的信息，独立审慎地表决或发表意见建议；</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（五）自觉学习有关知识，积极参加公司组织的有关培训，不断提高履职能力；</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（六）如实向公司提供有关情况和资料，保证所提供信息的客观性、完整性；</w:t>
      </w:r>
      <w:r>
        <w:rPr>
          <w:rFonts w:hAnsi="仿宋" w:eastAsia="仿宋"/>
          <w:color w:val="000000" w:themeColor="text1"/>
          <w:sz w:val="24"/>
          <w14:textFill>
            <w14:solidFill>
              <w14:schemeClr w14:val="tx1"/>
            </w14:solidFill>
          </w14:textFill>
        </w:rPr>
        <w:br w:type="textWrapping"/>
      </w:r>
      <w:r>
        <w:rPr>
          <w:rFonts w:hAnsi="仿宋" w:eastAsia="仿宋"/>
          <w:color w:val="000000" w:themeColor="text1"/>
          <w:sz w:val="24"/>
          <w14:textFill>
            <w14:solidFill>
              <w14:schemeClr w14:val="tx1"/>
            </w14:solidFill>
          </w14:textFill>
        </w:rPr>
        <w:t xml:space="preserve">    </w:t>
      </w:r>
      <w:r>
        <w:rPr>
          <w:rFonts w:hint="eastAsia" w:hAnsi="仿宋" w:eastAsia="仿宋"/>
          <w:color w:val="000000" w:themeColor="text1"/>
          <w:sz w:val="24"/>
          <w14:textFill>
            <w14:solidFill>
              <w14:schemeClr w14:val="tx1"/>
            </w14:solidFill>
          </w14:textFill>
        </w:rPr>
        <w:t>（七）法律、法规、规章、规范性文件以及本章程规定的其他忠实和勤勉义务。</w:t>
      </w:r>
      <w:r>
        <w:rPr>
          <w:rFonts w:hAnsi="仿宋"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高级管理人员对公司承担的忠实义务不因其任期结束而当然解除，忠实义务的持续期间应根据公平原则，并视事件的性质、董事任期结束的原因，以及事件与董事离任前的关系确定。</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董事、监事</w:t>
      </w:r>
      <w:r>
        <w:rPr>
          <w:rFonts w:hint="eastAsia" w:hAnsi="仿宋" w:eastAsia="仿宋"/>
          <w:color w:val="000000" w:themeColor="text1"/>
          <w:sz w:val="24"/>
          <w14:textFill>
            <w14:solidFill>
              <w14:schemeClr w14:val="tx1"/>
            </w14:solidFill>
          </w14:textFill>
        </w:rPr>
        <w:t>、</w:t>
      </w:r>
      <w:r>
        <w:rPr>
          <w:rFonts w:hAnsi="仿宋" w:eastAsia="仿宋"/>
          <w:color w:val="000000" w:themeColor="text1"/>
          <w:sz w:val="24"/>
          <w14:textFill>
            <w14:solidFill>
              <w14:schemeClr w14:val="tx1"/>
            </w14:solidFill>
          </w14:textFill>
        </w:rPr>
        <w:t>高级管理人员对公司的保密义务，应至相关信息被依法公开披露为止。</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[董事、监事</w:t>
      </w:r>
      <w:r>
        <w:rPr>
          <w:rFonts w:hint="eastAsia" w:eastAsia="仿宋"/>
          <w:b/>
          <w:bCs/>
          <w:color w:val="000000" w:themeColor="text1"/>
          <w:sz w:val="24"/>
          <w14:textFill>
            <w14:solidFill>
              <w14:schemeClr w14:val="tx1"/>
            </w14:solidFill>
          </w14:textFill>
        </w:rPr>
        <w:t>、</w:t>
      </w:r>
      <w:r>
        <w:rPr>
          <w:rFonts w:eastAsia="仿宋"/>
          <w:b/>
          <w:bCs/>
          <w:color w:val="000000" w:themeColor="text1"/>
          <w:sz w:val="24"/>
          <w14:textFill>
            <w14:solidFill>
              <w14:schemeClr w14:val="tx1"/>
            </w14:solidFill>
          </w14:textFill>
        </w:rPr>
        <w:t>高级管理人员不得从事的行为]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董事、监事</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高级管理人员不得有以下行为：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（一）挪用公司资金；</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（二）将公司资金以其个人名义或者以其他个人名义开立账户存储；</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（三）违反本章程的规定，未经股东会或者董事会同意，将公司资金借贷给他人或者以公司财产为他人提供担保；</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（四）未经股东会同意，与本公司订立合同或者进行交易；</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（五）未经股东会同意，利用职务便利为自己或者他人谋取属于公司的商业机会，自营或者为他人经营与所任职公司同类的业务（经适当程序决定在由公司投资的控股、参股公司任职的除外）；</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（六）接受他人与公司交易的佣金归为己有；</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（七）擅自披露，或非以公司利益为目的使用公司秘密；</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（八）违反对公司忠实勤勉义务和诚实信用原则的其他行为。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董事、监事</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高级管理人员违反前款规定所得的收入应当归公司所有。</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[董事、监事</w:t>
      </w:r>
      <w:r>
        <w:rPr>
          <w:rFonts w:hint="eastAsia" w:eastAsia="仿宋"/>
          <w:b/>
          <w:bCs/>
          <w:color w:val="000000" w:themeColor="text1"/>
          <w:sz w:val="24"/>
          <w14:textFill>
            <w14:solidFill>
              <w14:schemeClr w14:val="tx1"/>
            </w14:solidFill>
          </w14:textFill>
        </w:rPr>
        <w:t>、</w:t>
      </w:r>
      <w:r>
        <w:rPr>
          <w:rFonts w:eastAsia="仿宋"/>
          <w:b/>
          <w:bCs/>
          <w:color w:val="000000" w:themeColor="text1"/>
          <w:sz w:val="24"/>
          <w14:textFill>
            <w14:solidFill>
              <w14:schemeClr w14:val="tx1"/>
            </w14:solidFill>
          </w14:textFill>
        </w:rPr>
        <w:t>高级管理人员不得指使他人从事相关行为]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董事、监事</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高级管理人员不得指使以下人员或者机构从事本章程</w:t>
      </w:r>
      <w:r>
        <w:rPr>
          <w:rFonts w:hint="eastAsia" w:eastAsia="仿宋"/>
          <w:color w:val="000000" w:themeColor="text1"/>
          <w:sz w:val="24"/>
          <w14:textFill>
            <w14:solidFill>
              <w14:schemeClr w14:val="tx1"/>
            </w14:solidFill>
          </w14:textFill>
        </w:rPr>
        <w:t>第九十六条</w:t>
      </w:r>
      <w:r>
        <w:rPr>
          <w:rFonts w:eastAsia="仿宋"/>
          <w:color w:val="000000" w:themeColor="text1"/>
          <w:sz w:val="24"/>
          <w14:textFill>
            <w14:solidFill>
              <w14:schemeClr w14:val="tx1"/>
            </w14:solidFill>
          </w14:textFill>
        </w:rPr>
        <w:t>所禁止其本身从事的事宜：</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（一）董事、监事</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高级管理人员的配偶或者未成年子女；</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（二）董事、监事</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高级管理人员或者本条（一）项所述人员的受托人；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（三）董事、监事</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高级管理人员或者本条（一）、（二）项所述人员的合伙人；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（四）由董事、监事</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高级管理人员在事实上单独控制的公司，或者与本条（一）、（二）、（三）项所提及的人员或者公司其他董事、监事</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高级管理人员在事实上共同控制的公司；</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（五）本条第（四）项所指被控制的公司的董事、监事</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高级管理人员。</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董事、监事及高级管理人员违反本条规定，视同其本人违反了第</w:t>
      </w:r>
      <w:r>
        <w:rPr>
          <w:rFonts w:hint="eastAsia" w:eastAsia="仿宋"/>
          <w:color w:val="000000" w:themeColor="text1"/>
          <w:sz w:val="24"/>
          <w14:textFill>
            <w14:solidFill>
              <w14:schemeClr w14:val="tx1"/>
            </w14:solidFill>
          </w14:textFill>
        </w:rPr>
        <w:t>九十六</w:t>
      </w:r>
      <w:r>
        <w:rPr>
          <w:rFonts w:eastAsia="仿宋"/>
          <w:color w:val="000000" w:themeColor="text1"/>
          <w:sz w:val="24"/>
          <w14:textFill>
            <w14:solidFill>
              <w14:schemeClr w14:val="tx1"/>
            </w14:solidFill>
          </w14:textFill>
        </w:rPr>
        <w:t>条。</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[职工董事、</w:t>
      </w:r>
      <w:r>
        <w:rPr>
          <w:rFonts w:hint="eastAsia" w:eastAsia="仿宋"/>
          <w:b/>
          <w:bCs/>
          <w:color w:val="000000" w:themeColor="text1"/>
          <w:sz w:val="24"/>
          <w14:textFill>
            <w14:solidFill>
              <w14:schemeClr w14:val="tx1"/>
            </w14:solidFill>
          </w14:textFill>
        </w:rPr>
        <w:t>职工</w:t>
      </w:r>
      <w:r>
        <w:rPr>
          <w:rFonts w:eastAsia="仿宋"/>
          <w:b/>
          <w:bCs/>
          <w:color w:val="000000" w:themeColor="text1"/>
          <w:sz w:val="24"/>
          <w14:textFill>
            <w14:solidFill>
              <w14:schemeClr w14:val="tx1"/>
            </w14:solidFill>
          </w14:textFill>
        </w:rPr>
        <w:t>监事的履职保障]</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职工董事、职工监事依照公司职工董事、职工监事制度享有与其他董事、监事同等工作待遇。公司对职工董事、职工监事实施履职培训和评估考核，并建立履职档案。</w:t>
      </w:r>
      <w:bookmarkStart w:id="50" w:name="OLE_LINK18"/>
      <w:bookmarkStart w:id="51" w:name="OLE_LINK17"/>
      <w:r>
        <w:rPr>
          <w:rFonts w:eastAsia="仿宋"/>
          <w:color w:val="000000" w:themeColor="text1"/>
          <w:sz w:val="24"/>
          <w14:textFill>
            <w14:solidFill>
              <w14:schemeClr w14:val="tx1"/>
            </w14:solidFill>
          </w14:textFill>
        </w:rPr>
        <w:br w:type="textWrapping"/>
      </w:r>
      <w:bookmarkEnd w:id="50"/>
      <w:bookmarkEnd w:id="51"/>
    </w:p>
    <w:p>
      <w:pPr>
        <w:pStyle w:val="3"/>
        <w:numPr>
          <w:ilvl w:val="1"/>
          <w:numId w:val="1"/>
        </w:numPr>
        <w:spacing w:before="249" w:beforeLines="80" w:after="249" w:afterLines="80" w:line="440" w:lineRule="exact"/>
        <w:ind w:left="0" w:firstLine="0"/>
        <w:jc w:val="center"/>
        <w:rPr>
          <w:rFonts w:ascii="Times New Roman" w:hAnsi="Times New Roman" w:eastAsia="仿宋"/>
          <w:color w:val="000000" w:themeColor="text1"/>
          <w:sz w:val="24"/>
          <w:szCs w:val="24"/>
          <w14:textFill>
            <w14:solidFill>
              <w14:schemeClr w14:val="tx1"/>
            </w14:solidFill>
          </w14:textFill>
        </w:rPr>
      </w:pPr>
      <w:bookmarkStart w:id="52" w:name="_Toc48290108"/>
      <w:bookmarkStart w:id="53" w:name="_Toc130021884"/>
      <w:r>
        <w:rPr>
          <w:rFonts w:ascii="Times New Roman" w:hAnsi="Times New Roman" w:eastAsia="仿宋"/>
          <w:color w:val="000000" w:themeColor="text1"/>
          <w:sz w:val="24"/>
          <w:szCs w:val="24"/>
          <w14:textFill>
            <w14:solidFill>
              <w14:schemeClr w14:val="tx1"/>
            </w14:solidFill>
          </w14:textFill>
        </w:rPr>
        <w:t>法律责任及追究</w:t>
      </w:r>
      <w:bookmarkEnd w:id="52"/>
      <w:bookmarkEnd w:id="53"/>
    </w:p>
    <w:p>
      <w:pPr>
        <w:numPr>
          <w:ilvl w:val="0"/>
          <w:numId w:val="2"/>
        </w:numPr>
        <w:spacing w:line="440" w:lineRule="exact"/>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赔偿</w:t>
      </w:r>
      <w:r>
        <w:rPr>
          <w:rFonts w:eastAsia="仿宋"/>
          <w:b/>
          <w:bCs/>
          <w:color w:val="000000" w:themeColor="text1"/>
          <w:sz w:val="24"/>
          <w14:textFill>
            <w14:solidFill>
              <w14:schemeClr w14:val="tx1"/>
            </w14:solidFill>
          </w14:textFill>
        </w:rPr>
        <w:t>责任]</w:t>
      </w:r>
    </w:p>
    <w:p>
      <w:pPr>
        <w:spacing w:line="440" w:lineRule="exact"/>
        <w:ind w:firstLine="480" w:firstLineChars="200"/>
        <w:rPr>
          <w:rFonts w:eastAsia="仿宋"/>
          <w:color w:val="000000" w:themeColor="text1"/>
          <w:sz w:val="24"/>
          <w14:textFill>
            <w14:solidFill>
              <w14:schemeClr w14:val="tx1"/>
            </w14:solidFill>
          </w14:textFill>
        </w:rPr>
      </w:pPr>
      <w:r>
        <w:rPr>
          <w:rFonts w:hint="eastAsia" w:hAnsi="仿宋" w:eastAsia="仿宋"/>
          <w:color w:val="000000" w:themeColor="text1"/>
          <w:sz w:val="24"/>
          <w14:textFill>
            <w14:solidFill>
              <w14:schemeClr w14:val="tx1"/>
            </w14:solidFill>
          </w14:textFill>
        </w:rPr>
        <w:t xml:space="preserve"> 董事、监事、高级管理人员执行公司职务时违反法律、法规、规章、规范性文件或者本章程的规定，给公司造成损失的，应当承担赔偿责任。</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[公司内部处分]</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当股东会发现董事、监事、高级管理人员违反</w:t>
      </w:r>
      <w:r>
        <w:rPr>
          <w:rFonts w:hint="eastAsia" w:eastAsia="仿宋"/>
          <w:color w:val="000000" w:themeColor="text1"/>
          <w:sz w:val="24"/>
          <w14:textFill>
            <w14:solidFill>
              <w14:schemeClr w14:val="tx1"/>
            </w14:solidFill>
          </w14:textFill>
        </w:rPr>
        <w:t>第九十六条或有第九十七条</w:t>
      </w:r>
      <w:r>
        <w:rPr>
          <w:rFonts w:eastAsia="仿宋"/>
          <w:color w:val="000000" w:themeColor="text1"/>
          <w:sz w:val="24"/>
          <w14:textFill>
            <w14:solidFill>
              <w14:schemeClr w14:val="tx1"/>
            </w14:solidFill>
          </w14:textFill>
        </w:rPr>
        <w:t>规定的情形的，无论是否依据</w:t>
      </w:r>
      <w:r>
        <w:rPr>
          <w:rFonts w:hint="eastAsia" w:eastAsia="仿宋"/>
          <w:color w:val="000000" w:themeColor="text1"/>
          <w:sz w:val="24"/>
          <w14:textFill>
            <w14:solidFill>
              <w14:schemeClr w14:val="tx1"/>
            </w14:solidFill>
          </w14:textFill>
        </w:rPr>
        <w:t>第九十九条</w:t>
      </w:r>
      <w:r>
        <w:rPr>
          <w:rFonts w:eastAsia="仿宋"/>
          <w:color w:val="000000" w:themeColor="text1"/>
          <w:sz w:val="24"/>
          <w14:textFill>
            <w14:solidFill>
              <w14:schemeClr w14:val="tx1"/>
            </w14:solidFill>
          </w14:textFill>
        </w:rPr>
        <w:t>的规定处理，其均可以对相关的董事、监事、高级管理人员提出警告、责令其限期停止相关行为或予以改正。</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[股东直接诉讼]</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董事、监事</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高级管理人员违反</w:t>
      </w:r>
      <w:r>
        <w:rPr>
          <w:rFonts w:hint="eastAsia" w:eastAsia="仿宋"/>
          <w:color w:val="000000" w:themeColor="text1"/>
          <w:sz w:val="24"/>
          <w14:textFill>
            <w14:solidFill>
              <w14:schemeClr w14:val="tx1"/>
            </w14:solidFill>
          </w14:textFill>
        </w:rPr>
        <w:t>法律、法规、规章、规范性文件或者本</w:t>
      </w:r>
      <w:r>
        <w:rPr>
          <w:rFonts w:eastAsia="仿宋"/>
          <w:color w:val="000000" w:themeColor="text1"/>
          <w:sz w:val="24"/>
          <w14:textFill>
            <w14:solidFill>
              <w14:schemeClr w14:val="tx1"/>
            </w14:solidFill>
          </w14:textFill>
        </w:rPr>
        <w:t>章程的规定，损害股东利益的，股东可以向人民法院提起诉讼。</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[股东要求诉讼和代表诉讼]</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董事、高级管理人员有</w:t>
      </w:r>
      <w:r>
        <w:rPr>
          <w:rFonts w:hint="eastAsia" w:eastAsia="仿宋"/>
          <w:color w:val="000000" w:themeColor="text1"/>
          <w:sz w:val="24"/>
          <w14:textFill>
            <w14:solidFill>
              <w14:schemeClr w14:val="tx1"/>
            </w14:solidFill>
          </w14:textFill>
        </w:rPr>
        <w:t>第九十九条</w:t>
      </w:r>
      <w:r>
        <w:rPr>
          <w:rFonts w:eastAsia="仿宋"/>
          <w:color w:val="000000" w:themeColor="text1"/>
          <w:sz w:val="24"/>
          <w14:textFill>
            <w14:solidFill>
              <w14:schemeClr w14:val="tx1"/>
            </w14:solidFill>
          </w14:textFill>
        </w:rPr>
        <w:t>规定的情形的，股东可以书面要求监事会向人民法院提起诉讼；监事有</w:t>
      </w:r>
      <w:r>
        <w:rPr>
          <w:rFonts w:hint="eastAsia" w:eastAsia="仿宋"/>
          <w:color w:val="000000" w:themeColor="text1"/>
          <w:sz w:val="24"/>
          <w14:textFill>
            <w14:solidFill>
              <w14:schemeClr w14:val="tx1"/>
            </w14:solidFill>
          </w14:textFill>
        </w:rPr>
        <w:t>第九十九条</w:t>
      </w:r>
      <w:r>
        <w:rPr>
          <w:rFonts w:eastAsia="仿宋"/>
          <w:color w:val="000000" w:themeColor="text1"/>
          <w:sz w:val="24"/>
          <w14:textFill>
            <w14:solidFill>
              <w14:schemeClr w14:val="tx1"/>
            </w14:solidFill>
          </w14:textFill>
        </w:rPr>
        <w:t>规定的情形的，股东可以要求董事会向人民法院提起诉讼。</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监事会或董事会收到前款规定的股东书面请求后拒绝提起诉讼，或者自收到请求之日起三十日内未提起诉讼，或者情况紧急、不立即提起诉讼将会使公司利益受到难以弥补的损害的，股东有权为了公司的利益以自己的名义直接向人民法院提起诉讼。</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他人侵犯公司合法权益，给公司造成损失的，股东可以依照前两款的规定向人民法院提起诉讼。</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[其他责任]</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如董事、监事、高级管理人员违反</w:t>
      </w:r>
      <w:r>
        <w:rPr>
          <w:rFonts w:hint="eastAsia" w:eastAsia="仿宋"/>
          <w:color w:val="000000" w:themeColor="text1"/>
          <w:sz w:val="24"/>
          <w14:textFill>
            <w14:solidFill>
              <w14:schemeClr w14:val="tx1"/>
            </w14:solidFill>
          </w14:textFill>
        </w:rPr>
        <w:t>第九十五条或者出现第九十六条</w:t>
      </w:r>
      <w:r>
        <w:rPr>
          <w:rFonts w:eastAsia="仿宋"/>
          <w:color w:val="000000" w:themeColor="text1"/>
          <w:sz w:val="24"/>
          <w14:textFill>
            <w14:solidFill>
              <w14:schemeClr w14:val="tx1"/>
            </w14:solidFill>
          </w14:textFill>
        </w:rPr>
        <w:t>规定的情况或从事</w:t>
      </w:r>
      <w:r>
        <w:rPr>
          <w:rFonts w:hint="eastAsia" w:eastAsia="仿宋"/>
          <w:color w:val="000000" w:themeColor="text1"/>
          <w:sz w:val="24"/>
          <w14:textFill>
            <w14:solidFill>
              <w14:schemeClr w14:val="tx1"/>
            </w14:solidFill>
          </w14:textFill>
        </w:rPr>
        <w:t>法律、法规、规章、规范性文件或本章程</w:t>
      </w:r>
      <w:r>
        <w:rPr>
          <w:rFonts w:eastAsia="仿宋"/>
          <w:color w:val="000000" w:themeColor="text1"/>
          <w:sz w:val="24"/>
          <w14:textFill>
            <w14:solidFill>
              <w14:schemeClr w14:val="tx1"/>
            </w14:solidFill>
          </w14:textFill>
        </w:rPr>
        <w:t>其他条款所禁止的行为，除按照本章程的相关规定追究其民事赔偿责任外，股东还有权：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（一）在其认为董事、监事、高级管理人员的行为构成犯罪时，要求</w:t>
      </w:r>
      <w:r>
        <w:rPr>
          <w:rFonts w:hAnsi="仿宋" w:eastAsia="仿宋"/>
          <w:color w:val="000000" w:themeColor="text1"/>
          <w:sz w:val="24"/>
          <w14:textFill>
            <w14:solidFill>
              <w14:schemeClr w14:val="tx1"/>
            </w14:solidFill>
          </w14:textFill>
        </w:rPr>
        <w:t>侦查机关</w:t>
      </w:r>
      <w:r>
        <w:rPr>
          <w:rFonts w:eastAsia="仿宋"/>
          <w:color w:val="000000" w:themeColor="text1"/>
          <w:sz w:val="24"/>
          <w14:textFill>
            <w14:solidFill>
              <w14:schemeClr w14:val="tx1"/>
            </w14:solidFill>
          </w14:textFill>
        </w:rPr>
        <w:t>进行调查并追究其刑事责任；</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（二）立即撤销或建议其他机构撤销行为人的董事、监事职务或要求董事会解聘行为人的高级管理人员职务；</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w:t>
      </w:r>
      <w:r>
        <w:rPr>
          <w:rFonts w:hint="eastAsia" w:eastAsia="仿宋"/>
          <w:color w:val="000000" w:themeColor="text1"/>
          <w:sz w:val="24"/>
          <w14:textFill>
            <w14:solidFill>
              <w14:schemeClr w14:val="tx1"/>
            </w14:solidFill>
          </w14:textFill>
        </w:rPr>
        <w:t>按</w:t>
      </w:r>
      <w:r>
        <w:rPr>
          <w:rFonts w:eastAsia="仿宋"/>
          <w:color w:val="000000" w:themeColor="text1"/>
          <w:sz w:val="24"/>
          <w14:textFill>
            <w14:solidFill>
              <w14:schemeClr w14:val="tx1"/>
            </w14:solidFill>
          </w14:textFill>
        </w:rPr>
        <w:t>照董事、监事、高级管理人员的行政、人事隶属关系对行为人进行相关处分；</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w:t>
      </w:r>
      <w:r>
        <w:rPr>
          <w:rFonts w:hint="eastAsia" w:eastAsia="仿宋"/>
          <w:color w:val="000000" w:themeColor="text1"/>
          <w:sz w:val="24"/>
          <w14:textFill>
            <w14:solidFill>
              <w14:schemeClr w14:val="tx1"/>
            </w14:solidFill>
          </w14:textFill>
        </w:rPr>
        <w:t>按</w:t>
      </w:r>
      <w:r>
        <w:rPr>
          <w:rFonts w:eastAsia="仿宋"/>
          <w:color w:val="000000" w:themeColor="text1"/>
          <w:sz w:val="24"/>
          <w14:textFill>
            <w14:solidFill>
              <w14:schemeClr w14:val="tx1"/>
            </w14:solidFill>
          </w14:textFill>
        </w:rPr>
        <w:t>照董事、监事、高级管理人员党籍隶属关系，通过中国共产党相关组织对行为人进行党内处分。</w:t>
      </w:r>
      <w:r>
        <w:rPr>
          <w:rFonts w:eastAsia="仿宋"/>
          <w:color w:val="000000" w:themeColor="text1"/>
          <w:sz w:val="24"/>
          <w14:textFill>
            <w14:solidFill>
              <w14:schemeClr w14:val="tx1"/>
            </w14:solidFill>
          </w14:textFill>
        </w:rPr>
        <w:br w:type="textWrapping"/>
      </w:r>
    </w:p>
    <w:p>
      <w:pPr>
        <w:pStyle w:val="2"/>
        <w:numPr>
          <w:ilvl w:val="0"/>
          <w:numId w:val="1"/>
        </w:numPr>
        <w:spacing w:before="249" w:beforeLines="80" w:after="249" w:afterLines="80" w:line="440" w:lineRule="exact"/>
        <w:ind w:left="0" w:firstLine="0"/>
        <w:jc w:val="center"/>
        <w:rPr>
          <w:rFonts w:eastAsia="仿宋"/>
          <w:color w:val="000000" w:themeColor="text1"/>
          <w:sz w:val="24"/>
          <w:szCs w:val="24"/>
          <w14:textFill>
            <w14:solidFill>
              <w14:schemeClr w14:val="tx1"/>
            </w14:solidFill>
          </w14:textFill>
        </w:rPr>
      </w:pPr>
      <w:bookmarkStart w:id="54" w:name="_Toc48290109"/>
      <w:bookmarkStart w:id="55" w:name="_Toc130021885"/>
      <w:r>
        <w:rPr>
          <w:rFonts w:eastAsia="仿宋"/>
          <w:color w:val="000000" w:themeColor="text1"/>
          <w:sz w:val="24"/>
          <w:szCs w:val="24"/>
          <w14:textFill>
            <w14:solidFill>
              <w14:schemeClr w14:val="tx1"/>
            </w14:solidFill>
          </w14:textFill>
        </w:rPr>
        <w:t>公司的法定代表人</w:t>
      </w:r>
      <w:bookmarkEnd w:id="54"/>
      <w:bookmarkEnd w:id="55"/>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[法定代表人]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董事长为公司的法定代表人。</w:t>
      </w:r>
      <w:r>
        <w:rPr>
          <w:rFonts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【说明：根据《公司法》的相关规定，法定代表人可以由董事长、执行董事或者经理担任。根据本章程，法定代表人可以由董事长或者总裁（总经理）担任】</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[法定代表人职权]</w:t>
      </w:r>
      <w:r>
        <w:rPr>
          <w:rFonts w:hint="eastAsia" w:eastAsia="仿宋"/>
          <w:b/>
          <w:bCs/>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法定代表人对外代表公司签订合同等文件，进行民商事活动，参与诉讼和仲裁等程序。</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[约束和管理]</w:t>
      </w:r>
      <w:r>
        <w:rPr>
          <w:rFonts w:hint="eastAsia" w:eastAsia="仿宋"/>
          <w:b/>
          <w:bCs/>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法定代表人对外代表公司的行为受董事会及股东会的约束和管理。</w:t>
      </w:r>
      <w:r>
        <w:rPr>
          <w:rFonts w:eastAsia="仿宋"/>
          <w:color w:val="000000" w:themeColor="text1"/>
          <w:sz w:val="24"/>
          <w14:textFill>
            <w14:solidFill>
              <w14:schemeClr w14:val="tx1"/>
            </w14:solidFill>
          </w14:textFill>
        </w:rPr>
        <w:br w:type="textWrapping"/>
      </w:r>
    </w:p>
    <w:p>
      <w:pPr>
        <w:pStyle w:val="2"/>
        <w:numPr>
          <w:ilvl w:val="0"/>
          <w:numId w:val="1"/>
        </w:numPr>
        <w:spacing w:before="312" w:beforeLines="100" w:after="312" w:afterLines="100" w:line="440" w:lineRule="exact"/>
        <w:jc w:val="center"/>
        <w:rPr>
          <w:rFonts w:eastAsia="仿宋"/>
          <w:color w:val="000000" w:themeColor="text1"/>
          <w:sz w:val="24"/>
          <w:szCs w:val="24"/>
          <w14:textFill>
            <w14:solidFill>
              <w14:schemeClr w14:val="tx1"/>
            </w14:solidFill>
          </w14:textFill>
        </w:rPr>
      </w:pPr>
      <w:bookmarkStart w:id="56" w:name="_Toc48290110"/>
      <w:bookmarkStart w:id="57" w:name="_Toc47602148"/>
      <w:bookmarkStart w:id="58" w:name="_Toc130021886"/>
      <w:r>
        <w:rPr>
          <w:rFonts w:hint="eastAsia" w:hAnsi="仿宋" w:eastAsia="仿宋"/>
          <w:color w:val="000000" w:themeColor="text1"/>
          <w:sz w:val="24"/>
          <w:szCs w:val="24"/>
          <w14:textFill>
            <w14:solidFill>
              <w14:schemeClr w14:val="tx1"/>
            </w14:solidFill>
          </w14:textFill>
        </w:rPr>
        <w:t>财务、会计、审计</w:t>
      </w:r>
      <w:r>
        <w:rPr>
          <w:rFonts w:hAnsi="仿宋" w:eastAsia="仿宋"/>
          <w:color w:val="000000" w:themeColor="text1"/>
          <w:sz w:val="24"/>
          <w:szCs w:val="24"/>
          <w14:textFill>
            <w14:solidFill>
              <w14:schemeClr w14:val="tx1"/>
            </w14:solidFill>
          </w14:textFill>
        </w:rPr>
        <w:t>与</w:t>
      </w:r>
      <w:r>
        <w:rPr>
          <w:rFonts w:hint="eastAsia" w:hAnsi="仿宋" w:eastAsia="仿宋"/>
          <w:color w:val="000000" w:themeColor="text1"/>
          <w:sz w:val="24"/>
          <w:szCs w:val="24"/>
          <w14:textFill>
            <w14:solidFill>
              <w14:schemeClr w14:val="tx1"/>
            </w14:solidFill>
          </w14:textFill>
        </w:rPr>
        <w:t>法律顾问</w:t>
      </w:r>
      <w:r>
        <w:rPr>
          <w:rFonts w:hAnsi="仿宋" w:eastAsia="仿宋"/>
          <w:color w:val="000000" w:themeColor="text1"/>
          <w:sz w:val="24"/>
          <w:szCs w:val="24"/>
          <w14:textFill>
            <w14:solidFill>
              <w14:schemeClr w14:val="tx1"/>
            </w14:solidFill>
          </w14:textFill>
        </w:rPr>
        <w:t>制度</w:t>
      </w:r>
      <w:bookmarkEnd w:id="56"/>
      <w:bookmarkEnd w:id="57"/>
    </w:p>
    <w:bookmarkEnd w:id="58"/>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[财务、会计、审计与法律顾问制度的建立]</w:t>
      </w:r>
      <w:r>
        <w:rPr>
          <w:rFonts w:hint="eastAsia" w:eastAsia="仿宋"/>
          <w:b/>
          <w:bCs/>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公司应当依照法律、行政法规和国务院财政部门的规定建立本公司的财务、会计、审计与法律顾问制度。</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[审计]</w:t>
      </w:r>
      <w:r>
        <w:rPr>
          <w:rFonts w:hint="eastAsia" w:eastAsia="仿宋"/>
          <w:b/>
          <w:bCs/>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公司内部审计部门根据市国资委</w:t>
      </w:r>
      <w:r>
        <w:rPr>
          <w:rFonts w:hint="eastAsia" w:eastAsia="仿宋"/>
          <w:color w:val="000000" w:themeColor="text1"/>
          <w:sz w:val="24"/>
          <w14:textFill>
            <w14:solidFill>
              <w14:schemeClr w14:val="tx1"/>
            </w14:solidFill>
          </w14:textFill>
        </w:rPr>
        <w:t>的</w:t>
      </w:r>
      <w:r>
        <w:rPr>
          <w:rFonts w:eastAsia="仿宋"/>
          <w:color w:val="000000" w:themeColor="text1"/>
          <w:sz w:val="24"/>
          <w14:textFill>
            <w14:solidFill>
              <w14:schemeClr w14:val="tx1"/>
            </w14:solidFill>
          </w14:textFill>
        </w:rPr>
        <w:t>相关规定</w:t>
      </w:r>
      <w:r>
        <w:rPr>
          <w:rFonts w:hint="eastAsia" w:eastAsia="仿宋"/>
          <w:color w:val="000000" w:themeColor="text1"/>
          <w:sz w:val="24"/>
          <w14:textFill>
            <w14:solidFill>
              <w14:schemeClr w14:val="tx1"/>
            </w14:solidFill>
          </w14:textFill>
        </w:rPr>
        <w:t>以及股东会的要求</w:t>
      </w:r>
      <w:r>
        <w:rPr>
          <w:rFonts w:eastAsia="仿宋"/>
          <w:color w:val="000000" w:themeColor="text1"/>
          <w:sz w:val="24"/>
          <w14:textFill>
            <w14:solidFill>
              <w14:schemeClr w14:val="tx1"/>
            </w14:solidFill>
          </w14:textFill>
        </w:rPr>
        <w:t>，对董事会负责，开展内部审计工作。对公司及其分支机构的经营管理活动进行审计监督。</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公司内部审计</w:t>
      </w:r>
      <w:r>
        <w:rPr>
          <w:rFonts w:hint="eastAsia" w:eastAsia="仿宋"/>
          <w:color w:val="000000" w:themeColor="text1"/>
          <w:sz w:val="24"/>
          <w14:textFill>
            <w14:solidFill>
              <w14:schemeClr w14:val="tx1"/>
            </w14:solidFill>
          </w14:textFill>
        </w:rPr>
        <w:t>部门</w:t>
      </w:r>
      <w:r>
        <w:rPr>
          <w:rFonts w:eastAsia="仿宋"/>
          <w:color w:val="000000" w:themeColor="text1"/>
          <w:sz w:val="24"/>
          <w14:textFill>
            <w14:solidFill>
              <w14:schemeClr w14:val="tx1"/>
            </w14:solidFill>
          </w14:textFill>
        </w:rPr>
        <w:t>接受董事会审计与风险控制委员会的指导和监督。</w:t>
      </w:r>
      <w:r>
        <w:rPr>
          <w:rFonts w:eastAsia="仿宋"/>
          <w:color w:val="000000" w:themeColor="text1"/>
          <w:sz w:val="24"/>
          <w14:textFill>
            <w14:solidFill>
              <w14:schemeClr w14:val="tx1"/>
            </w14:solidFill>
          </w14:textFill>
        </w:rPr>
        <w:br w:type="textWrapping"/>
      </w:r>
    </w:p>
    <w:p>
      <w:pPr>
        <w:numPr>
          <w:ilvl w:val="0"/>
          <w:numId w:val="2"/>
        </w:numPr>
        <w:spacing w:line="440" w:lineRule="exact"/>
        <w:ind w:left="0" w:firstLine="482" w:firstLineChars="20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[财务会计账簿、会计报告和会计师事务所聘用]</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除法定的会计账簿外，公司不得另立会计账簿。对公司资产，不得以任何个人名义开立账户存储。</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公司会计年度采用公历日历年制，即每年公历1月1日起至12月31日止为一个会计年度。公司采取人民币为记账本位币，账目用中文书写。公司应当在每一会计年度终了时编制符合法律、行政法规和国务院财政部门规定的财务会计报告，</w:t>
      </w:r>
      <w:r>
        <w:rPr>
          <w:rFonts w:hint="eastAsia" w:hAnsi="仿宋" w:eastAsia="仿宋"/>
          <w:color w:val="000000" w:themeColor="text1"/>
          <w:sz w:val="24"/>
          <w14:textFill>
            <w14:solidFill>
              <w14:schemeClr w14:val="tx1"/>
            </w14:solidFill>
          </w14:textFill>
        </w:rPr>
        <w:t>公司财务会计报告包括会计报表、财务情况说明书及其附注和其他应当在财务会计报告中披露的相关信息和资料。会计报表至少应当包括资产负债表、利润表、现金流量表、所有者权益变动表等报表。</w:t>
      </w:r>
      <w:r>
        <w:rPr>
          <w:rFonts w:hAnsi="仿宋" w:eastAsia="仿宋"/>
          <w:color w:val="000000" w:themeColor="text1"/>
          <w:sz w:val="24"/>
          <w14:textFill>
            <w14:solidFill>
              <w14:schemeClr w14:val="tx1"/>
            </w14:solidFill>
          </w14:textFill>
        </w:rPr>
        <w:t>依法经有相应从业资格的会计师事务所审计</w:t>
      </w:r>
      <w:r>
        <w:rPr>
          <w:rFonts w:eastAsia="仿宋"/>
          <w:color w:val="000000" w:themeColor="text1"/>
          <w:sz w:val="24"/>
          <w14:textFill>
            <w14:solidFill>
              <w14:schemeClr w14:val="tx1"/>
            </w14:solidFill>
          </w14:textFill>
        </w:rPr>
        <w:t>。公司应当向聘用的会计师事务所提供真实、完整的会计凭证、会计账簿、财务会计报告及其他会计资料，不得拒绝、隐匿、谎报。</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上述会计师事务所的聘用和解聘由股东会决定。股东会解聘会计师事务所前，应当允许会计师事务所陈述意见。 </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[法定公积金的提取]</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[任意公积金的提取]</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公司从税后利润中提取法定公积金后，股东会可以决定从税后利润中提取任意公积金。</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[财务风险控制制度]</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公司应建立科学的财务风险控制制度，并根据</w:t>
      </w:r>
      <w:r>
        <w:rPr>
          <w:rFonts w:hint="eastAsia" w:eastAsia="仿宋"/>
          <w:color w:val="000000" w:themeColor="text1"/>
          <w:sz w:val="24"/>
          <w14:textFill>
            <w14:solidFill>
              <w14:schemeClr w14:val="tx1"/>
            </w14:solidFill>
          </w14:textFill>
        </w:rPr>
        <w:t>市国资委</w:t>
      </w:r>
      <w:r>
        <w:rPr>
          <w:rFonts w:eastAsia="仿宋"/>
          <w:color w:val="000000" w:themeColor="text1"/>
          <w:sz w:val="24"/>
          <w14:textFill>
            <w14:solidFill>
              <w14:schemeClr w14:val="tx1"/>
            </w14:solidFill>
          </w14:textFill>
        </w:rPr>
        <w:t>的</w:t>
      </w:r>
      <w:r>
        <w:rPr>
          <w:rFonts w:hint="eastAsia" w:eastAsia="仿宋"/>
          <w:color w:val="000000" w:themeColor="text1"/>
          <w:sz w:val="24"/>
          <w14:textFill>
            <w14:solidFill>
              <w14:schemeClr w14:val="tx1"/>
            </w14:solidFill>
          </w14:textFill>
        </w:rPr>
        <w:t>相</w:t>
      </w:r>
      <w:r>
        <w:rPr>
          <w:rFonts w:eastAsia="仿宋"/>
          <w:color w:val="000000" w:themeColor="text1"/>
          <w:sz w:val="24"/>
          <w14:textFill>
            <w14:solidFill>
              <w14:schemeClr w14:val="tx1"/>
            </w14:solidFill>
          </w14:textFill>
        </w:rPr>
        <w:t>关规定</w:t>
      </w:r>
      <w:r>
        <w:rPr>
          <w:rFonts w:hint="eastAsia" w:eastAsia="仿宋"/>
          <w:color w:val="000000" w:themeColor="text1"/>
          <w:sz w:val="24"/>
          <w14:textFill>
            <w14:solidFill>
              <w14:schemeClr w14:val="tx1"/>
            </w14:solidFill>
          </w14:textFill>
        </w:rPr>
        <w:t>以及股东会的要求，</w:t>
      </w:r>
      <w:r>
        <w:rPr>
          <w:rFonts w:eastAsia="仿宋"/>
          <w:color w:val="000000" w:themeColor="text1"/>
          <w:sz w:val="24"/>
          <w14:textFill>
            <w14:solidFill>
              <w14:schemeClr w14:val="tx1"/>
            </w14:solidFill>
          </w14:textFill>
        </w:rPr>
        <w:t>建立重大财务事项报告制度。</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b/>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[分红制度]</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公司应当按照</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公司法</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和本章程相关规定，</w:t>
      </w:r>
      <w:r>
        <w:rPr>
          <w:rFonts w:hint="eastAsia" w:eastAsia="仿宋"/>
          <w:color w:val="000000" w:themeColor="text1"/>
          <w:sz w:val="24"/>
          <w14:textFill>
            <w14:solidFill>
              <w14:schemeClr w14:val="tx1"/>
            </w14:solidFill>
          </w14:textFill>
        </w:rPr>
        <w:t>由</w:t>
      </w:r>
      <w:r>
        <w:rPr>
          <w:rFonts w:eastAsia="仿宋"/>
          <w:color w:val="000000" w:themeColor="text1"/>
          <w:sz w:val="24"/>
          <w14:textFill>
            <w14:solidFill>
              <w14:schemeClr w14:val="tx1"/>
            </w14:solidFill>
          </w14:textFill>
        </w:rPr>
        <w:t>股东会审议批准公司的利润分配方案，确保公司按章程规定的比例和股东会的决定分配利润</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公司每一会计年度应按不低于合并会计报表可分配利润的【】%进行分红。公司建立分红可调整机制，股东会根据实际情况适时、适度调整分红水平</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对于公司控股、实际控制企业，以及公司参股的企业，公司必须通过该企业股东会、董事会等内设决策机构，区分确定该企业的分红水平，决定该企业的利润分配方案：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（一）对于公司控股、实际控制企业，通过该企业内设决策机构，决定其利润分配方案；</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（二）对于公司参股企业，属新设企业的，应在制定新设企业章程时，明确该企业的分红水平；属存续企业的，</w:t>
      </w:r>
      <w:r>
        <w:rPr>
          <w:rFonts w:hint="eastAsia" w:eastAsia="仿宋"/>
          <w:color w:val="000000" w:themeColor="text1"/>
          <w:sz w:val="24"/>
          <w14:textFill>
            <w14:solidFill>
              <w14:schemeClr w14:val="tx1"/>
            </w14:solidFill>
          </w14:textFill>
        </w:rPr>
        <w:t>可</w:t>
      </w:r>
      <w:r>
        <w:rPr>
          <w:rFonts w:eastAsia="仿宋"/>
          <w:color w:val="000000" w:themeColor="text1"/>
          <w:sz w:val="24"/>
          <w14:textFill>
            <w14:solidFill>
              <w14:schemeClr w14:val="tx1"/>
            </w14:solidFill>
          </w14:textFill>
        </w:rPr>
        <w:t>在每一会计年度末向公司决策机构提出分红建议。</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公司须通过实施上述措施，提高公司的控制力和资本优化配置效率，确保公司向股东利润分配的资金来源。</w:t>
      </w:r>
      <w:r>
        <w:rPr>
          <w:rFonts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【说明：可以按照公司不同类型设置分红比例、分红年限、分红方式，可以根据产业类、投资类、科技类和公益类区分设定不同比例下限，也可以根据上市公司分红方式采用固定金额型和剩余股利型分配方式】</w:t>
      </w:r>
      <w:r>
        <w:rPr>
          <w:rFonts w:eastAsia="仿宋"/>
          <w:color w:val="000000" w:themeColor="text1"/>
          <w:sz w:val="24"/>
          <w14:textFill>
            <w14:solidFill>
              <w14:schemeClr w14:val="tx1"/>
            </w14:solidFill>
          </w14:textFill>
        </w:rPr>
        <w:br w:type="textWrapping"/>
      </w:r>
    </w:p>
    <w:p>
      <w:pPr>
        <w:numPr>
          <w:ilvl w:val="0"/>
          <w:numId w:val="2"/>
        </w:numPr>
        <w:spacing w:line="440" w:lineRule="exact"/>
        <w:rPr>
          <w:rFonts w:eastAsia="仿宋"/>
          <w:b/>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[法律顾问制度]</w:t>
      </w:r>
    </w:p>
    <w:p>
      <w:pPr>
        <w:spacing w:line="440" w:lineRule="exact"/>
        <w:ind w:left="284" w:firstLine="480" w:firstLineChars="200"/>
        <w:rPr>
          <w:rFonts w:eastAsia="仿宋"/>
          <w:bCs/>
          <w:color w:val="000000" w:themeColor="text1"/>
          <w:sz w:val="24"/>
          <w14:textFill>
            <w14:solidFill>
              <w14:schemeClr w14:val="tx1"/>
            </w14:solidFill>
          </w14:textFill>
        </w:rPr>
      </w:pPr>
      <w:r>
        <w:rPr>
          <w:rFonts w:hint="eastAsia" w:eastAsia="仿宋"/>
          <w:bCs/>
          <w:color w:val="000000" w:themeColor="text1"/>
          <w:sz w:val="24"/>
          <w14:textFill>
            <w14:solidFill>
              <w14:schemeClr w14:val="tx1"/>
            </w14:solidFill>
          </w14:textFill>
        </w:rPr>
        <w:t>公司可设总法律顾问，总法律顾问主管公司在经营管理过程中的法律审核工作，推进公司依法经营、合规管理等事务，依法履行职权，保证决策的合法性。总法律顾问可对公司按照有关规定报送股东批准的分立、合并、破产、解散、增减注册资本等重大事项出具书面法律意见，分析相关的法律风险，明确法律责任。</w:t>
      </w:r>
      <w:r>
        <w:rPr>
          <w:rFonts w:eastAsia="仿宋"/>
          <w:color w:val="000000" w:themeColor="text1"/>
          <w:sz w:val="24"/>
          <w14:textFill>
            <w14:solidFill>
              <w14:schemeClr w14:val="tx1"/>
            </w14:solidFill>
          </w14:textFill>
        </w:rPr>
        <w:br w:type="textWrapping"/>
      </w:r>
    </w:p>
    <w:p>
      <w:pPr>
        <w:pStyle w:val="2"/>
        <w:numPr>
          <w:ilvl w:val="0"/>
          <w:numId w:val="1"/>
        </w:numPr>
        <w:spacing w:before="249" w:beforeLines="80" w:after="249" w:afterLines="80" w:line="440" w:lineRule="exact"/>
        <w:ind w:left="0" w:firstLine="0"/>
        <w:jc w:val="center"/>
        <w:rPr>
          <w:rFonts w:eastAsia="仿宋"/>
          <w:color w:val="000000" w:themeColor="text1"/>
          <w:sz w:val="24"/>
          <w:szCs w:val="24"/>
          <w14:textFill>
            <w14:solidFill>
              <w14:schemeClr w14:val="tx1"/>
            </w14:solidFill>
          </w14:textFill>
        </w:rPr>
      </w:pPr>
      <w:bookmarkStart w:id="59" w:name="_Toc130021887"/>
      <w:bookmarkStart w:id="60" w:name="_Toc48290111"/>
      <w:r>
        <w:rPr>
          <w:rFonts w:eastAsia="仿宋"/>
          <w:color w:val="000000" w:themeColor="text1"/>
          <w:sz w:val="24"/>
          <w:szCs w:val="24"/>
          <w14:textFill>
            <w14:solidFill>
              <w14:schemeClr w14:val="tx1"/>
            </w14:solidFill>
          </w14:textFill>
        </w:rPr>
        <w:t>分立与合并、解散与清算</w:t>
      </w:r>
      <w:bookmarkEnd w:id="59"/>
      <w:bookmarkEnd w:id="60"/>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[公司合并的方式]</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公司合并或者分立，应当由公司董事会提出方案，按本章程规定的程序通过后，按权限报批。</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[公司解散的事由]</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公司因以下原因解散：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（一）本章程规定的营业期限届满或者本章程其他条款规定的解散事由出现；</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（二）股东会决定并经上海市人民政府批准解散；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（三）因公司合并或者分立需要解散；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（四）依法被吊销企业法人营业执照、责令关闭或者被撤销。</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[清算组的成立]</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公司因</w:t>
      </w:r>
      <w:r>
        <w:rPr>
          <w:rFonts w:hint="eastAsia" w:eastAsia="仿宋"/>
          <w:color w:val="000000" w:themeColor="text1"/>
          <w:sz w:val="24"/>
          <w14:textFill>
            <w14:solidFill>
              <w14:schemeClr w14:val="tx1"/>
            </w14:solidFill>
          </w14:textFill>
        </w:rPr>
        <w:t>第一百一十六条第（一）项、第（二）项、第（四）项规</w:t>
      </w:r>
      <w:r>
        <w:rPr>
          <w:rFonts w:eastAsia="仿宋"/>
          <w:color w:val="000000" w:themeColor="text1"/>
          <w:sz w:val="24"/>
          <w14:textFill>
            <w14:solidFill>
              <w14:schemeClr w14:val="tx1"/>
            </w14:solidFill>
          </w14:textFill>
        </w:rPr>
        <w:t>定而解散的，应当在解散事由出现之日起十五日内成立成员不少于三人的清算组，开始清算。清算组由股东组成。</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[清算组的职权]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清算组在清算期间行使以下职权：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（一）清理公司财产，分别编制资产负债表和财产清单；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（二）通知、公告债权人；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（三）处理与清算有关的公司未了结的业务；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（四）清缴所欠税款以及清算过程中产生的税款；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（五）清理债权、债务；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（六）处理公司清偿债务后的剩余财产；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（七）代表公司参与民事诉讼活动。</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[债权申报通知和公告]</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清算组应当自成立之日起十日内通知债权人，并于六十日内在报纸上公告。债权人应当自接到通知书之日起三十日内，未接到通知书的自公告之日起四十五日内，向清算组申报其债权。</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债权人申报债权，应当说明债权的有关事项，并提供证明材料。清算组应当对债权进行登记。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在申报债权期间，清算组不得对债权人进行清偿。</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[清算方案、清算期间对公司财产分配的限制]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清算组在清理公司财产、编制资产负债表和财产清单后，应当制定清算方案，并报股东会/或人民法院确认。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公司财产在分别支付清算费用、职工的工资、社会保险费用和法定补偿金，缴纳所欠税款，清偿公司债务后的剩余财产归股东所有。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清算期间，公司存续，但不得开展与清算无关的经营活动。公司财产在未按前款规定清偿前，不得分配给股东。</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[清算报告和公司终止程序]</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公司清算结束后，清算组应当制作清算报告，报股东会或人民法院确认，并报送市场监督管理机关，申请注销公司登记，公告公司终止。</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[清算组成员的义务、责任]</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清算组成员应当忠于职守，依法履行清算义务。</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清算组成员不得利用职权收受贿赂或者其他非法收入，不得侵占公司财产。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清算组成员因故意或者重大过失给公司或者债权人造成损失的，应当承担赔偿责任。</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[宣告破产]</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清算组在清理公司财产、编制资产负债表和财产清单后，发现公司财产不足清偿债务的，应当依法向人民法院申请宣告破产。 </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公司经人民法院裁定宣告破产后，清算组应当将清算事务移交给人民法院。</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公司被依法宣告破产的，依照有关企业破产的法律实施破产清算。</w:t>
      </w:r>
      <w:r>
        <w:rPr>
          <w:rFonts w:eastAsia="仿宋"/>
          <w:color w:val="000000" w:themeColor="text1"/>
          <w:sz w:val="24"/>
          <w14:textFill>
            <w14:solidFill>
              <w14:schemeClr w14:val="tx1"/>
            </w14:solidFill>
          </w14:textFill>
        </w:rPr>
        <w:br w:type="textWrapping"/>
      </w:r>
    </w:p>
    <w:p>
      <w:pPr>
        <w:pStyle w:val="2"/>
        <w:numPr>
          <w:ilvl w:val="0"/>
          <w:numId w:val="1"/>
        </w:numPr>
        <w:spacing w:before="249" w:beforeLines="80" w:after="249" w:afterLines="80" w:line="440" w:lineRule="exact"/>
        <w:ind w:left="0" w:firstLine="0"/>
        <w:jc w:val="center"/>
        <w:rPr>
          <w:rFonts w:eastAsia="仿宋"/>
          <w:color w:val="000000" w:themeColor="text1"/>
          <w:sz w:val="24"/>
          <w:szCs w:val="24"/>
          <w14:textFill>
            <w14:solidFill>
              <w14:schemeClr w14:val="tx1"/>
            </w14:solidFill>
          </w14:textFill>
        </w:rPr>
      </w:pPr>
      <w:bookmarkStart w:id="61" w:name="_Toc130021888"/>
      <w:bookmarkStart w:id="62" w:name="_Toc48290112"/>
      <w:r>
        <w:rPr>
          <w:rFonts w:hint="eastAsia" w:hAnsi="仿宋" w:eastAsia="仿宋"/>
          <w:color w:val="000000" w:themeColor="text1"/>
          <w:sz w:val="24"/>
          <w:szCs w:val="24"/>
          <w14:textFill>
            <w14:solidFill>
              <w14:schemeClr w14:val="tx1"/>
            </w14:solidFill>
          </w14:textFill>
        </w:rPr>
        <w:t>职工民主管理与</w:t>
      </w:r>
      <w:r>
        <w:rPr>
          <w:rFonts w:eastAsia="仿宋"/>
          <w:color w:val="000000" w:themeColor="text1"/>
          <w:sz w:val="24"/>
          <w:szCs w:val="24"/>
          <w14:textFill>
            <w14:solidFill>
              <w14:schemeClr w14:val="tx1"/>
            </w14:solidFill>
          </w14:textFill>
        </w:rPr>
        <w:t>劳动人事</w:t>
      </w:r>
      <w:bookmarkEnd w:id="61"/>
      <w:r>
        <w:rPr>
          <w:rFonts w:hint="eastAsia" w:eastAsia="仿宋"/>
          <w:color w:val="000000" w:themeColor="text1"/>
          <w:sz w:val="24"/>
          <w:szCs w:val="24"/>
          <w14:textFill>
            <w14:solidFill>
              <w14:schemeClr w14:val="tx1"/>
            </w14:solidFill>
          </w14:textFill>
        </w:rPr>
        <w:t>制度</w:t>
      </w:r>
      <w:bookmarkEnd w:id="62"/>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bookmarkStart w:id="63" w:name="_Hlk47534577"/>
      <w:r>
        <w:rPr>
          <w:rFonts w:hint="eastAsia" w:hAnsi="仿宋" w:eastAsia="仿宋"/>
          <w:b/>
          <w:color w:val="000000" w:themeColor="text1"/>
          <w:sz w:val="24"/>
          <w14:textFill>
            <w14:solidFill>
              <w14:schemeClr w14:val="tx1"/>
            </w14:solidFill>
          </w14:textFill>
        </w:rPr>
        <w:t>职工民主管理</w:t>
      </w:r>
      <w:bookmarkEnd w:id="63"/>
      <w:r>
        <w:rPr>
          <w:rFonts w:hint="eastAsia" w:hAnsi="仿宋" w:eastAsia="仿宋"/>
          <w:b/>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依照法律规定，健全以职工代表大会为基本形式的民主管理制度，推进厂务公开、业务公开，落实职工群众知情权、参与权、表达权、监督权。重大决策要听取职工意见，涉及职工切身利益的重大问题必须经过职工代表大会或者职工大会审议。坚持和完善职工董事制度，维护职工代表有序参与公司治理的权益。</w:t>
      </w:r>
    </w:p>
    <w:p>
      <w:pPr>
        <w:numPr>
          <w:ilvl w:val="-1"/>
          <w:numId w:val="0"/>
        </w:numPr>
        <w:spacing w:before="249" w:beforeLines="80" w:after="249" w:afterLines="80" w:line="440" w:lineRule="exact"/>
        <w:ind w:left="6" w:firstLine="420" w:firstLineChars="175"/>
        <w:rPr>
          <w:rFonts w:eastAsia="仿宋"/>
          <w:color w:val="000000" w:themeColor="text1"/>
          <w:sz w:val="24"/>
          <w14:textFill>
            <w14:solidFill>
              <w14:schemeClr w14:val="tx1"/>
            </w14:solidFill>
          </w14:textFill>
        </w:rPr>
      </w:pPr>
      <w:r>
        <w:rPr>
          <w:rFonts w:hint="eastAsia" w:eastAsia="仿宋"/>
          <w:color w:val="000000" w:themeColor="text1"/>
          <w:sz w:val="24"/>
          <w:lang w:eastAsia="zh-CN"/>
          <w14:textFill>
            <w14:solidFill>
              <w14:schemeClr w14:val="tx1"/>
            </w14:solidFill>
          </w14:textFill>
        </w:rPr>
        <w:t>【说明：</w:t>
      </w:r>
      <w:r>
        <w:rPr>
          <w:rFonts w:hint="eastAsia" w:eastAsia="仿宋"/>
          <w:color w:val="000000" w:themeColor="text1"/>
          <w:sz w:val="24"/>
          <w14:textFill>
            <w14:solidFill>
              <w14:schemeClr w14:val="tx1"/>
            </w14:solidFill>
          </w14:textFill>
        </w:rPr>
        <w:t>涉及职工切身利益的重大问题</w:t>
      </w:r>
      <w:r>
        <w:rPr>
          <w:rFonts w:hint="eastAsia" w:eastAsia="仿宋"/>
          <w:color w:val="000000" w:themeColor="text1"/>
          <w:sz w:val="24"/>
          <w:lang w:eastAsia="zh-CN"/>
          <w14:textFill>
            <w14:solidFill>
              <w14:schemeClr w14:val="tx1"/>
            </w14:solidFill>
          </w14:textFill>
        </w:rPr>
        <w:t>一般是指，</w:t>
      </w:r>
      <w:r>
        <w:rPr>
          <w:rFonts w:hint="eastAsia" w:eastAsia="仿宋"/>
          <w:color w:val="000000" w:themeColor="text1"/>
          <w:sz w:val="24"/>
          <w14:textFill>
            <w14:solidFill>
              <w14:schemeClr w14:val="tx1"/>
            </w14:solidFill>
          </w14:textFill>
        </w:rPr>
        <w:t>制定、修改或者决定有关劳动报酬、工作时间、休息休假、劳动安全卫生、保险福利、职工培训、劳动纪律以及劳动定额管理等直接涉及劳动者切身利益的规章制度或者重大事项等</w:t>
      </w:r>
      <w:r>
        <w:rPr>
          <w:rFonts w:hint="eastAsia" w:eastAsia="仿宋"/>
          <w:color w:val="000000" w:themeColor="text1"/>
          <w:sz w:val="24"/>
          <w:lang w:eastAsia="zh-CN"/>
          <w14:textFill>
            <w14:solidFill>
              <w14:schemeClr w14:val="tx1"/>
            </w14:solidFill>
          </w14:textFill>
        </w:rPr>
        <w:t>。】</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bookmarkStart w:id="64" w:name="_Hlk47534592"/>
      <w:r>
        <w:rPr>
          <w:rFonts w:hint="eastAsia" w:hAnsi="仿宋" w:eastAsia="仿宋"/>
          <w:b/>
          <w:color w:val="000000" w:themeColor="text1"/>
          <w:sz w:val="24"/>
          <w14:textFill>
            <w14:solidFill>
              <w14:schemeClr w14:val="tx1"/>
            </w14:solidFill>
          </w14:textFill>
        </w:rPr>
        <w:t>群团组织及工会</w:t>
      </w:r>
      <w:bookmarkEnd w:id="64"/>
      <w:r>
        <w:rPr>
          <w:rFonts w:eastAsia="仿宋"/>
          <w:b/>
          <w:color w:val="000000" w:themeColor="text1"/>
          <w:sz w:val="24"/>
          <w14:textFill>
            <w14:solidFill>
              <w14:schemeClr w14:val="tx1"/>
            </w14:solidFill>
          </w14:textFill>
        </w:rPr>
        <w:t>]</w:t>
      </w:r>
      <w:r>
        <w:rPr>
          <w:rFonts w:eastAsia="仿宋"/>
          <w:b/>
          <w:bCs/>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r>
        <w:rPr>
          <w:rFonts w:eastAsia="仿宋"/>
          <w:b/>
          <w:bCs/>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根据《公司法》及《中华人民共和国工会法》、《中国共产主义青年团章程》的规定，分别设立各级工会组织和各级团组织，开展工会活动，依法维护职工的合法权益，开展团组织活动，引导广大职工积极参与公司改革发展。公司应当为各级工会组织和团组织的活动提供必要的条件。</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公司设工会主席一名，工会主席由会员代表大会或工会委员会选举产生。</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 xml:space="preserve"> </w:t>
      </w:r>
      <w:bookmarkStart w:id="65" w:name="_Hlk47534630"/>
      <w:r>
        <w:rPr>
          <w:rFonts w:hint="eastAsia" w:eastAsia="仿宋"/>
          <w:color w:val="000000" w:themeColor="text1"/>
          <w:sz w:val="24"/>
          <w14:textFill>
            <w14:solidFill>
              <w14:schemeClr w14:val="tx1"/>
            </w14:solidFill>
          </w14:textFill>
        </w:rPr>
        <w:t>[</w:t>
      </w:r>
      <w:r>
        <w:rPr>
          <w:rFonts w:hint="eastAsia" w:hAnsi="仿宋" w:eastAsia="仿宋"/>
          <w:b/>
          <w:color w:val="000000" w:themeColor="text1"/>
          <w:sz w:val="24"/>
          <w14:textFill>
            <w14:solidFill>
              <w14:schemeClr w14:val="tx1"/>
            </w14:solidFill>
          </w14:textFill>
        </w:rPr>
        <w:t>劳动人事制度</w:t>
      </w:r>
      <w:bookmarkEnd w:id="65"/>
      <w:r>
        <w:rPr>
          <w:rFonts w:eastAsia="仿宋"/>
          <w:b/>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 xml:space="preserve"> </w:t>
      </w:r>
    </w:p>
    <w:p>
      <w:pPr>
        <w:spacing w:before="249" w:beforeLines="80" w:after="249" w:afterLines="80" w:line="440" w:lineRule="exact"/>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公司应当遵守国家有关劳动保护和安全生产的法律、行政法规，执行国家有关政策，保障劳动者的合法权益。依照国家有关劳动人事的法律、行政法规和政策，根据生产经营需要，制定劳动、人事和工资制度。</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司实行全员劳动合同制，根据《中华人民共和国劳动法》与职工建立劳动关系,依法与职工签订书面劳动合同，依法建立健全的劳动工资制度,依法为职工缴纳社会保险，加强劳动保护，实现安全生产。公司采用多种形式，加强公司职工的职业教育和岗位培训，提高职工素质。</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p>
    <w:p>
      <w:pPr>
        <w:pStyle w:val="2"/>
        <w:numPr>
          <w:ilvl w:val="0"/>
          <w:numId w:val="1"/>
        </w:numPr>
        <w:spacing w:before="249" w:beforeLines="80" w:after="249" w:afterLines="80" w:line="440" w:lineRule="exact"/>
        <w:ind w:left="0" w:firstLine="0"/>
        <w:jc w:val="center"/>
        <w:rPr>
          <w:rFonts w:eastAsia="仿宋"/>
          <w:color w:val="000000" w:themeColor="text1"/>
          <w:sz w:val="24"/>
          <w:szCs w:val="24"/>
          <w14:textFill>
            <w14:solidFill>
              <w14:schemeClr w14:val="tx1"/>
            </w14:solidFill>
          </w14:textFill>
        </w:rPr>
      </w:pPr>
      <w:bookmarkStart w:id="66" w:name="_Toc48290113"/>
      <w:r>
        <w:rPr>
          <w:rFonts w:eastAsia="仿宋"/>
          <w:color w:val="000000" w:themeColor="text1"/>
          <w:sz w:val="24"/>
          <w:szCs w:val="24"/>
          <w14:textFill>
            <w14:solidFill>
              <w14:schemeClr w14:val="tx1"/>
            </w14:solidFill>
          </w14:textFill>
        </w:rPr>
        <w:t>社会责任和突发事件处理</w:t>
      </w:r>
      <w:bookmarkEnd w:id="66"/>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[社会责任]</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公司从事经营活动应当遵守法律法规，加强经营管理，提高经济效益，接受人民政府及其有关部门、机构依法实施的管理和监督，接受社会公众的监督，承担社会责任，对股东负责。</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公司在实现企业自身经济发展目标的同时，将自身发展与社会协调发展相结合，积极承担社会责任，</w:t>
      </w:r>
      <w:r>
        <w:rPr>
          <w:rFonts w:hint="eastAsia" w:hAnsi="仿宋" w:eastAsia="仿宋"/>
          <w:color w:val="000000" w:themeColor="text1"/>
          <w:sz w:val="24"/>
          <w14:textFill>
            <w14:solidFill>
              <w14:schemeClr w14:val="tx1"/>
            </w14:solidFill>
          </w14:textFill>
        </w:rPr>
        <w:t>坚持创新、协调、绿色、开放、共享的发展理念</w:t>
      </w:r>
      <w:r>
        <w:rPr>
          <w:rFonts w:eastAsia="仿宋"/>
          <w:color w:val="000000" w:themeColor="text1"/>
          <w:sz w:val="24"/>
          <w14:textFill>
            <w14:solidFill>
              <w14:schemeClr w14:val="tx1"/>
            </w14:solidFill>
          </w14:textFill>
        </w:rPr>
        <w:t>，重视公司与利益相关者、社会、环境保护、资源利用等方面的非商业贡献，致力于创造良好的社会效益，实现公司与社会可持续发展。</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公司深化社会责任意识，健全社会责任管理体系，定期发布社会责任报告（或可持续发展报告）。报告内容应当包括公司劳动关系制度建设和职工利益保障等情况。</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公司致力于开展各种形式的企业社会责任公共活动，持续关注企业自身社会责任建设，推动企业积极参与社会公益事业。</w:t>
      </w:r>
      <w:r>
        <w:rPr>
          <w:rFonts w:eastAsia="仿宋"/>
          <w:color w:val="000000" w:themeColor="text1"/>
          <w:sz w:val="24"/>
          <w14:textFill>
            <w14:solidFill>
              <w14:schemeClr w14:val="tx1"/>
            </w14:solidFill>
          </w14:textFill>
        </w:rPr>
        <w:br w:type="textWrapping"/>
      </w:r>
      <w:r>
        <w:rPr>
          <w:rFonts w:eastAsia="仿宋"/>
          <w:b/>
          <w:color w:val="000000" w:themeColor="text1"/>
          <w:sz w:val="24"/>
          <w14:textFill>
            <w14:solidFill>
              <w14:schemeClr w14:val="tx1"/>
            </w14:solidFill>
          </w14:textFill>
        </w:rPr>
        <w:t xml:space="preserve">    【说明：除上述基础条款外，建议公司根据自身情况，进一步制定个性化的社会责任条款，参考条款如下</w:t>
      </w:r>
      <w:r>
        <w:rPr>
          <w:rFonts w:hint="eastAsia" w:eastAsia="仿宋"/>
          <w:b/>
          <w:color w:val="000000" w:themeColor="text1"/>
          <w:sz w:val="24"/>
          <w14:textFill>
            <w14:solidFill>
              <w14:schemeClr w14:val="tx1"/>
            </w14:solidFill>
          </w14:textFill>
        </w:rPr>
        <w:t>：</w:t>
      </w:r>
      <w:r>
        <w:rPr>
          <w:rFonts w:eastAsia="仿宋"/>
          <w:b/>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1、“公司应当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应当加强用能管理，采取技术上可行、经济上合理以及环境和社会可以承受的措施，从各个环节，降低消耗、减少损失和污染物排放、制止浪费，有效、合理地利用能源。合理调整产品结构和能源消费结构，推动企业降低单位产值能耗和单位产品能耗，淘汰落后的生产能力，改进能源的开发、加工、转换、输送、储存和供应，提高能源利用效率”。</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2、“公司应当满足消费者的需求，保护消费者合法权益，建立健康、透明、和谐的消费者关系。</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应当确保服务、产品的安全和卫生。对可能危及人身、财产安全的产品和服务，公司应向消费者作出真实说明和明确警示。如发现其提供的产品、服务存在严重缺陷，公司应当立即向政府有关主管部门报告并告知消费者，同时采取防止危害发生或扩大的措施”。</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3、“公司应当积极开展城市发展、环境保护、社区建设等公共事业，实现公司与社会的协调、和谐发展，完成服务民生、服务社会的公司经营使命”。</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4、“公司应当加强产品质量监督管理，承担产品质量责任，保护消费者的合法权益。公司不得通过贿赂、走私等非法活动牟取不正当商业利益，不得从事不正当竞争行为”。</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5、“公司对国家和社会的全面发展、自然环境和资源保护，以及股东、债权人、职工、客户、消费者、供应商等利益相关方承担应尽的社会责任”</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[安全生产]</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公司作为全面落实安全生产的责任主体，建立安全生产长效机制，防止和减少生产安全事故，保障公司职工和公众的生命财产安全。</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[突发事件]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突发事件是指突然发生的、有别于日常经营的、已经或者可能会对公司的经营、财务状况，以及对公司声誉产生严重影响的、需要采取应急处理措施予以应对的偶发性事件。</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对突发事件的应急管理，应建立快速反应和应急处理机制以及报告制度。</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突发事件处理应遵循的基本原则：及时、有效，最大限度的减少对公司经营和形象的影响，维护社会公共利益和公司利益的统一。</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公司为应对突发事件，应制定第一处理人和发言人制度等各项制度。</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公司发生突发事件应立即向股东进行报告。</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处理突发事件必要时，公司可以邀请公正、权威、专业的机构协助解决突发事件，以确保公司处理突发事件时的公众信誉度及准确度。</w:t>
      </w:r>
      <w:r>
        <w:rPr>
          <w:rFonts w:eastAsia="仿宋"/>
          <w:color w:val="000000" w:themeColor="text1"/>
          <w:sz w:val="24"/>
          <w14:textFill>
            <w14:solidFill>
              <w14:schemeClr w14:val="tx1"/>
            </w14:solidFill>
          </w14:textFill>
        </w:rPr>
        <w:br w:type="textWrapping"/>
      </w:r>
      <w:bookmarkStart w:id="67" w:name="_Toc130021889"/>
    </w:p>
    <w:p>
      <w:pPr>
        <w:pStyle w:val="2"/>
        <w:numPr>
          <w:ilvl w:val="0"/>
          <w:numId w:val="1"/>
        </w:numPr>
        <w:spacing w:before="249" w:beforeLines="80" w:after="249" w:afterLines="80" w:line="440" w:lineRule="exact"/>
        <w:ind w:left="0" w:firstLine="0"/>
        <w:jc w:val="center"/>
        <w:rPr>
          <w:rFonts w:eastAsia="仿宋"/>
          <w:color w:val="000000" w:themeColor="text1"/>
          <w:sz w:val="24"/>
          <w:szCs w:val="24"/>
          <w14:textFill>
            <w14:solidFill>
              <w14:schemeClr w14:val="tx1"/>
            </w14:solidFill>
          </w14:textFill>
        </w:rPr>
      </w:pPr>
      <w:bookmarkStart w:id="68" w:name="_Toc48290114"/>
      <w:r>
        <w:rPr>
          <w:rFonts w:eastAsia="仿宋"/>
          <w:color w:val="000000" w:themeColor="text1"/>
          <w:sz w:val="24"/>
          <w:szCs w:val="24"/>
          <w14:textFill>
            <w14:solidFill>
              <w14:schemeClr w14:val="tx1"/>
            </w14:solidFill>
          </w14:textFill>
        </w:rPr>
        <w:t>其他事项</w:t>
      </w:r>
      <w:bookmarkEnd w:id="67"/>
      <w:bookmarkEnd w:id="68"/>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[信息披露制度的衔接]</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公司应当按照</w:t>
      </w:r>
      <w:r>
        <w:rPr>
          <w:rFonts w:hint="eastAsia" w:eastAsia="仿宋"/>
          <w:color w:val="000000" w:themeColor="text1"/>
          <w:sz w:val="24"/>
          <w14:textFill>
            <w14:solidFill>
              <w14:schemeClr w14:val="tx1"/>
            </w14:solidFill>
          </w14:textFill>
        </w:rPr>
        <w:t>法律、法规、规章、规范性文件</w:t>
      </w:r>
      <w:r>
        <w:rPr>
          <w:rFonts w:eastAsia="仿宋"/>
          <w:color w:val="000000" w:themeColor="text1"/>
          <w:sz w:val="24"/>
          <w14:textFill>
            <w14:solidFill>
              <w14:schemeClr w14:val="tx1"/>
            </w14:solidFill>
          </w14:textFill>
        </w:rPr>
        <w:t>履行信息披露相应职责、制定信息披露事务管理制度。公司的董事、监事、高级管理人员应当忠实、勤勉地履行职责，保证披露信息的真实、准确、完整、及时、公平。</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如公司对外投资参股、控股上市公司的，行使股东权涉及信息披露时，应与上市公司信息披露制度衔接。</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容错</w:t>
      </w:r>
      <w:r>
        <w:rPr>
          <w:rFonts w:hint="eastAsia" w:hAnsi="仿宋" w:eastAsia="仿宋"/>
          <w:b/>
          <w:color w:val="000000" w:themeColor="text1"/>
          <w:sz w:val="24"/>
          <w14:textFill>
            <w14:solidFill>
              <w14:schemeClr w14:val="tx1"/>
            </w14:solidFill>
          </w14:textFill>
        </w:rPr>
        <w:t>纠错</w:t>
      </w:r>
      <w:r>
        <w:rPr>
          <w:rFonts w:eastAsia="仿宋"/>
          <w:b/>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Ansi="仿宋" w:eastAsia="仿宋"/>
          <w:color w:val="000000" w:themeColor="text1"/>
          <w:sz w:val="24"/>
          <w14:textFill>
            <w14:solidFill>
              <w14:schemeClr w14:val="tx1"/>
            </w14:solidFill>
          </w14:textFill>
        </w:rPr>
        <w:t>公司</w:t>
      </w:r>
      <w:r>
        <w:rPr>
          <w:rFonts w:hint="eastAsia" w:hAnsi="仿宋" w:eastAsia="仿宋"/>
          <w:color w:val="000000" w:themeColor="text1"/>
          <w:sz w:val="24"/>
          <w14:textFill>
            <w14:solidFill>
              <w14:schemeClr w14:val="tx1"/>
            </w14:solidFill>
          </w14:textFill>
        </w:rPr>
        <w:t>应根据相关规定，结合实际，聚焦改革创新发展的重点领域</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制定相应的容错纠错制度。对公司管理人员在落实重大战略部署、推进改革创新发展、维护社会稳定等过程中勤勉尽责、</w:t>
      </w:r>
      <w:r>
        <w:rPr>
          <w:rFonts w:hAnsi="仿宋" w:eastAsia="仿宋"/>
          <w:color w:val="000000" w:themeColor="text1"/>
          <w:sz w:val="24"/>
          <w14:textFill>
            <w14:solidFill>
              <w14:schemeClr w14:val="tx1"/>
            </w14:solidFill>
          </w14:textFill>
        </w:rPr>
        <w:t>未牟私利</w:t>
      </w:r>
      <w:r>
        <w:rPr>
          <w:rFonts w:hint="eastAsia" w:hAnsi="仿宋" w:eastAsia="仿宋"/>
          <w:color w:val="000000" w:themeColor="text1"/>
          <w:sz w:val="24"/>
          <w14:textFill>
            <w14:solidFill>
              <w14:schemeClr w14:val="tx1"/>
            </w14:solidFill>
          </w14:textFill>
        </w:rPr>
        <w:t>，出现存在容错情形且符合容错条件的失误偏差，</w:t>
      </w:r>
      <w:r>
        <w:rPr>
          <w:rFonts w:hAnsi="仿宋" w:eastAsia="仿宋"/>
          <w:color w:val="000000" w:themeColor="text1"/>
          <w:sz w:val="24"/>
          <w14:textFill>
            <w14:solidFill>
              <w14:schemeClr w14:val="tx1"/>
            </w14:solidFill>
          </w14:textFill>
        </w:rPr>
        <w:t>经履行相关程序后</w:t>
      </w:r>
      <w:r>
        <w:rPr>
          <w:rFonts w:hint="eastAsia" w:hAnsi="仿宋" w:eastAsia="仿宋"/>
          <w:color w:val="000000" w:themeColor="text1"/>
          <w:sz w:val="24"/>
          <w14:textFill>
            <w14:solidFill>
              <w14:schemeClr w14:val="tx1"/>
            </w14:solidFill>
          </w14:textFill>
        </w:rPr>
        <w:t>，不作负面评价或者进行减责、免责</w:t>
      </w:r>
      <w:r>
        <w:rPr>
          <w:rFonts w:hAnsi="仿宋"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同时，应当对失误偏差予以纠正并完善制度机制。</w:t>
      </w:r>
      <w:r>
        <w:rPr>
          <w:rFonts w:eastAsia="仿宋"/>
          <w:color w:val="000000" w:themeColor="text1"/>
          <w:sz w:val="24"/>
          <w14:textFill>
            <w14:solidFill>
              <w14:schemeClr w14:val="tx1"/>
            </w14:solidFill>
          </w14:textFill>
        </w:rPr>
        <w:br w:type="textWrapping"/>
      </w:r>
    </w:p>
    <w:p>
      <w:pPr>
        <w:numPr>
          <w:ilvl w:val="0"/>
          <w:numId w:val="2"/>
        </w:numPr>
        <w:spacing w:line="440" w:lineRule="exact"/>
        <w:ind w:left="0" w:firstLine="482" w:firstLineChars="20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[用语解释]</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本章程所称的“以上”包括本数，“少于”</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“过半数”</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“超过”</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“内”不包括本数。</w:t>
      </w:r>
    </w:p>
    <w:p>
      <w:pPr>
        <w:spacing w:line="440" w:lineRule="exact"/>
        <w:ind w:firstLine="360" w:firstLineChars="15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本章程所称“关联方”，是指公司的董事、监事、高级管理人员及其近亲属，以及这些人员所有或者实际控制的企业。</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[未尽事宜的执行]</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本章程未尽事宜根据相关</w:t>
      </w:r>
      <w:r>
        <w:rPr>
          <w:rFonts w:hint="eastAsia" w:eastAsia="仿宋"/>
          <w:color w:val="000000" w:themeColor="text1"/>
          <w:sz w:val="24"/>
          <w14:textFill>
            <w14:solidFill>
              <w14:schemeClr w14:val="tx1"/>
            </w14:solidFill>
          </w14:textFill>
        </w:rPr>
        <w:t>法律、法规、规章、规范性文件</w:t>
      </w:r>
      <w:r>
        <w:rPr>
          <w:rFonts w:eastAsia="仿宋"/>
          <w:color w:val="000000" w:themeColor="text1"/>
          <w:sz w:val="24"/>
          <w14:textFill>
            <w14:solidFill>
              <w14:schemeClr w14:val="tx1"/>
            </w14:solidFill>
          </w14:textFill>
        </w:rPr>
        <w:t>执行。</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[章程的修改]</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有以下情形之一的，公司应当修改本章程：</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（一）《公司法》、《企业国有资产法》、《中国共产党章程》或有关</w:t>
      </w:r>
      <w:r>
        <w:rPr>
          <w:rFonts w:hint="eastAsia" w:eastAsia="仿宋"/>
          <w:color w:val="000000" w:themeColor="text1"/>
          <w:sz w:val="24"/>
          <w14:textFill>
            <w14:solidFill>
              <w14:schemeClr w14:val="tx1"/>
            </w14:solidFill>
          </w14:textFill>
        </w:rPr>
        <w:t>法律、法规、规章、规范性文件</w:t>
      </w:r>
      <w:r>
        <w:rPr>
          <w:rFonts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党章和党内法规</w:t>
      </w:r>
      <w:r>
        <w:rPr>
          <w:rFonts w:eastAsia="仿宋"/>
          <w:color w:val="000000" w:themeColor="text1"/>
          <w:sz w:val="24"/>
          <w14:textFill>
            <w14:solidFill>
              <w14:schemeClr w14:val="tx1"/>
            </w14:solidFill>
          </w14:textFill>
        </w:rPr>
        <w:t>修改后，本章程规定的事项与修改后的</w:t>
      </w:r>
      <w:r>
        <w:rPr>
          <w:rFonts w:hint="eastAsia" w:eastAsia="仿宋"/>
          <w:color w:val="000000" w:themeColor="text1"/>
          <w:sz w:val="24"/>
          <w14:textFill>
            <w14:solidFill>
              <w14:schemeClr w14:val="tx1"/>
            </w14:solidFill>
          </w14:textFill>
        </w:rPr>
        <w:t>法律、法规、规章、规范性文件</w:t>
      </w:r>
      <w:r>
        <w:rPr>
          <w:rFonts w:eastAsia="仿宋"/>
          <w:color w:val="000000" w:themeColor="text1"/>
          <w:sz w:val="24"/>
          <w14:textFill>
            <w14:solidFill>
              <w14:schemeClr w14:val="tx1"/>
            </w14:solidFill>
          </w14:textFill>
        </w:rPr>
        <w:t>、</w:t>
      </w:r>
      <w:r>
        <w:rPr>
          <w:rFonts w:hint="eastAsia" w:hAnsi="仿宋" w:eastAsia="仿宋"/>
          <w:color w:val="000000" w:themeColor="text1"/>
          <w:sz w:val="24"/>
          <w14:textFill>
            <w14:solidFill>
              <w14:schemeClr w14:val="tx1"/>
            </w14:solidFill>
          </w14:textFill>
        </w:rPr>
        <w:t>党章和党内法规</w:t>
      </w:r>
      <w:r>
        <w:rPr>
          <w:rFonts w:eastAsia="仿宋"/>
          <w:color w:val="000000" w:themeColor="text1"/>
          <w:sz w:val="24"/>
          <w14:textFill>
            <w14:solidFill>
              <w14:schemeClr w14:val="tx1"/>
            </w14:solidFill>
          </w14:textFill>
        </w:rPr>
        <w:t>相抵触；</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（二）公司的情况发生变化，与本章程记载的事项不一致；</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（三）股东会决定修改本章程的。</w:t>
      </w:r>
      <w:r>
        <w:rPr>
          <w:rFonts w:eastAsia="仿宋"/>
          <w:color w:val="000000" w:themeColor="text1"/>
          <w:sz w:val="24"/>
          <w14:textFill>
            <w14:solidFill>
              <w14:schemeClr w14:val="tx1"/>
            </w14:solidFill>
          </w14:textFill>
        </w:rPr>
        <w:br w:type="textWrapping"/>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除本章程另有约定外，</w:t>
      </w:r>
      <w:r>
        <w:rPr>
          <w:rFonts w:eastAsia="仿宋"/>
          <w:color w:val="000000" w:themeColor="text1"/>
          <w:sz w:val="24"/>
          <w14:textFill>
            <w14:solidFill>
              <w14:schemeClr w14:val="tx1"/>
            </w14:solidFill>
          </w14:textFill>
        </w:rPr>
        <w:t>本章程修改事项应经股东会决</w:t>
      </w:r>
      <w:r>
        <w:rPr>
          <w:rFonts w:hint="eastAsia" w:eastAsia="仿宋"/>
          <w:color w:val="000000" w:themeColor="text1"/>
          <w:sz w:val="24"/>
          <w14:textFill>
            <w14:solidFill>
              <w14:schemeClr w14:val="tx1"/>
            </w14:solidFill>
          </w14:textFill>
        </w:rPr>
        <w:t>议</w:t>
      </w:r>
      <w:r>
        <w:rPr>
          <w:rFonts w:eastAsia="仿宋"/>
          <w:color w:val="000000" w:themeColor="text1"/>
          <w:sz w:val="24"/>
          <w14:textFill>
            <w14:solidFill>
              <w14:schemeClr w14:val="tx1"/>
            </w14:solidFill>
          </w14:textFill>
        </w:rPr>
        <w:t>；涉及公司登记事项的，依法办理变更登记。</w:t>
      </w:r>
      <w:r>
        <w:rPr>
          <w:rFonts w:eastAsia="仿宋"/>
          <w:color w:val="000000" w:themeColor="text1"/>
          <w:sz w:val="24"/>
          <w14:textFill>
            <w14:solidFill>
              <w14:schemeClr w14:val="tx1"/>
            </w14:solidFill>
          </w14:textFill>
        </w:rPr>
        <w:br w:type="textWrapping"/>
      </w:r>
    </w:p>
    <w:p>
      <w:pPr>
        <w:numPr>
          <w:ilvl w:val="0"/>
          <w:numId w:val="2"/>
        </w:numPr>
        <w:spacing w:before="249" w:beforeLines="80" w:after="249" w:afterLines="80" w:line="440" w:lineRule="exact"/>
        <w:ind w:left="0" w:firstLine="426"/>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w:t>
      </w:r>
      <w:r>
        <w:rPr>
          <w:rFonts w:hint="eastAsia" w:eastAsia="仿宋"/>
          <w:b/>
          <w:bCs/>
          <w:color w:val="000000" w:themeColor="text1"/>
          <w:sz w:val="24"/>
          <w14:textFill>
            <w14:solidFill>
              <w14:schemeClr w14:val="tx1"/>
            </w14:solidFill>
          </w14:textFill>
        </w:rPr>
        <w:t>章程的</w:t>
      </w:r>
      <w:r>
        <w:rPr>
          <w:rFonts w:eastAsia="仿宋"/>
          <w:b/>
          <w:bCs/>
          <w:color w:val="000000" w:themeColor="text1"/>
          <w:sz w:val="24"/>
          <w14:textFill>
            <w14:solidFill>
              <w14:schemeClr w14:val="tx1"/>
            </w14:solidFill>
          </w14:textFill>
        </w:rPr>
        <w:t>生效和</w:t>
      </w:r>
      <w:r>
        <w:rPr>
          <w:rFonts w:hint="eastAsia" w:eastAsia="仿宋"/>
          <w:b/>
          <w:bCs/>
          <w:color w:val="000000" w:themeColor="text1"/>
          <w:sz w:val="24"/>
          <w14:textFill>
            <w14:solidFill>
              <w14:schemeClr w14:val="tx1"/>
            </w14:solidFill>
          </w14:textFill>
        </w:rPr>
        <w:t>解释</w:t>
      </w:r>
      <w:r>
        <w:rPr>
          <w:rFonts w:eastAsia="仿宋"/>
          <w:b/>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br w:type="textWrapping"/>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 xml:space="preserve">   本章程由全体股东共同制定</w:t>
      </w:r>
      <w:r>
        <w:rPr>
          <w:rFonts w:hint="eastAsia" w:eastAsia="仿宋"/>
          <w:color w:val="000000" w:themeColor="text1"/>
          <w:sz w:val="24"/>
          <w14:textFill>
            <w14:solidFill>
              <w14:schemeClr w14:val="tx1"/>
            </w14:solidFill>
          </w14:textFill>
        </w:rPr>
        <w:t>，</w:t>
      </w:r>
      <w:r>
        <w:rPr>
          <w:rFonts w:hint="eastAsia" w:eastAsia="仿宋"/>
          <w:color w:val="000000" w:themeColor="text1"/>
          <w:sz w:val="24"/>
          <w:lang w:eastAsia="zh-CN"/>
          <w14:textFill>
            <w14:solidFill>
              <w14:schemeClr w14:val="tx1"/>
            </w14:solidFill>
          </w14:textFill>
        </w:rPr>
        <w:t>经</w:t>
      </w:r>
      <w:r>
        <w:rPr>
          <w:rFonts w:hint="eastAsia" w:eastAsia="仿宋"/>
          <w:color w:val="000000" w:themeColor="text1"/>
          <w:sz w:val="24"/>
          <w14:textFill>
            <w14:solidFill>
              <w14:schemeClr w14:val="tx1"/>
            </w14:solidFill>
          </w14:textFill>
        </w:rPr>
        <w:t>股东会批准后生效</w:t>
      </w:r>
      <w:r>
        <w:rPr>
          <w:rFonts w:hint="eastAsia" w:eastAsia="仿宋"/>
          <w:color w:val="000000" w:themeColor="text1"/>
          <w:sz w:val="24"/>
          <w:lang w:eastAsia="zh-CN"/>
          <w14:textFill>
            <w14:solidFill>
              <w14:schemeClr w14:val="tx1"/>
            </w14:solidFill>
          </w14:textFill>
        </w:rPr>
        <w:t>，由股东会负责</w:t>
      </w:r>
      <w:r>
        <w:rPr>
          <w:rFonts w:hint="eastAsia" w:eastAsia="仿宋"/>
          <w:color w:val="000000" w:themeColor="text1"/>
          <w:sz w:val="24"/>
          <w14:textFill>
            <w14:solidFill>
              <w14:schemeClr w14:val="tx1"/>
            </w14:solidFill>
          </w14:textFill>
        </w:rPr>
        <w:t>解释。</w:t>
      </w:r>
      <w:r>
        <w:rPr>
          <w:rFonts w:eastAsia="仿宋"/>
          <w:color w:val="000000" w:themeColor="text1"/>
          <w:sz w:val="24"/>
          <w14:textFill>
            <w14:solidFill>
              <w14:schemeClr w14:val="tx1"/>
            </w14:solidFill>
          </w14:textFill>
        </w:rPr>
        <w:br w:type="textWrapping"/>
      </w:r>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0" w:usb3="00000000" w:csb0="0004000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8"/>
                            </w:rPr>
                          </w:pPr>
                          <w:r>
                            <w:rPr>
                              <w:rStyle w:val="28"/>
                            </w:rPr>
                            <w:fldChar w:fldCharType="begin"/>
                          </w:r>
                          <w:r>
                            <w:rPr>
                              <w:rStyle w:val="28"/>
                            </w:rPr>
                            <w:instrText xml:space="preserve"> PAGE </w:instrText>
                          </w:r>
                          <w:r>
                            <w:rPr>
                              <w:rStyle w:val="28"/>
                            </w:rPr>
                            <w:fldChar w:fldCharType="separate"/>
                          </w:r>
                          <w:r>
                            <w:rPr>
                              <w:rStyle w:val="28"/>
                            </w:rPr>
                            <w:t>2</w:t>
                          </w:r>
                          <w:r>
                            <w:rPr>
                              <w:rStyle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Style w:val="28"/>
                      </w:rPr>
                    </w:pPr>
                    <w:r>
                      <w:rPr>
                        <w:rStyle w:val="28"/>
                      </w:rPr>
                      <w:fldChar w:fldCharType="begin"/>
                    </w:r>
                    <w:r>
                      <w:rPr>
                        <w:rStyle w:val="28"/>
                      </w:rPr>
                      <w:instrText xml:space="preserve"> PAGE </w:instrText>
                    </w:r>
                    <w:r>
                      <w:rPr>
                        <w:rStyle w:val="28"/>
                      </w:rPr>
                      <w:fldChar w:fldCharType="separate"/>
                    </w:r>
                    <w:r>
                      <w:rPr>
                        <w:rStyle w:val="28"/>
                      </w:rPr>
                      <w:t>2</w:t>
                    </w:r>
                    <w:r>
                      <w:rPr>
                        <w:rStyle w:val="28"/>
                      </w:rPr>
                      <w:fldChar w:fldCharType="end"/>
                    </w:r>
                  </w:p>
                  <w:p/>
                </w:txbxContent>
              </v:textbox>
            </v:shape>
          </w:pict>
        </mc:Fallback>
      </mc:AlternateContent>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rFonts w:eastAsia="仿宋"/>
      </w:rPr>
    </w:pPr>
    <w:r>
      <w:rPr>
        <w:rFonts w:hAnsi="仿宋" w:eastAsia="仿宋"/>
      </w:rPr>
      <w:t>上海市国有控股公司章程指引（</w:t>
    </w:r>
    <w:r>
      <w:rPr>
        <w:rFonts w:eastAsia="仿宋"/>
      </w:rPr>
      <w:t>2020</w:t>
    </w:r>
    <w:r>
      <w:rPr>
        <w:rFonts w:hAnsi="仿宋" w:eastAsia="仿宋"/>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C3F10"/>
    <w:multiLevelType w:val="multilevel"/>
    <w:tmpl w:val="1BAC3F10"/>
    <w:lvl w:ilvl="0" w:tentative="0">
      <w:start w:val="1"/>
      <w:numFmt w:val="taiwaneseCountingThousand"/>
      <w:lvlText w:val="第%1章"/>
      <w:lvlJc w:val="left"/>
      <w:pPr>
        <w:tabs>
          <w:tab w:val="left" w:pos="1260"/>
        </w:tabs>
        <w:ind w:left="1260" w:hanging="1260"/>
      </w:pPr>
      <w:rPr>
        <w:rFonts w:hint="default"/>
        <w:b/>
      </w:rPr>
    </w:lvl>
    <w:lvl w:ilvl="1" w:tentative="0">
      <w:start w:val="1"/>
      <w:numFmt w:val="japaneseCounting"/>
      <w:lvlText w:val="第%2节"/>
      <w:lvlJc w:val="left"/>
      <w:pPr>
        <w:tabs>
          <w:tab w:val="left" w:pos="1260"/>
        </w:tabs>
        <w:ind w:left="1260" w:hanging="840"/>
      </w:pPr>
      <w:rPr>
        <w:rFonts w:hint="eastAsia"/>
        <w:b/>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B6F00BD"/>
    <w:multiLevelType w:val="multilevel"/>
    <w:tmpl w:val="2B6F00BD"/>
    <w:lvl w:ilvl="0" w:tentative="0">
      <w:start w:val="1"/>
      <w:numFmt w:val="taiwaneseCountingThousand"/>
      <w:lvlText w:val="第%1条"/>
      <w:lvlJc w:val="left"/>
      <w:pPr>
        <w:tabs>
          <w:tab w:val="left" w:pos="1827"/>
        </w:tabs>
        <w:ind w:left="1827" w:hanging="1260"/>
      </w:pPr>
      <w:rPr>
        <w:rFonts w:hint="default"/>
        <w:b/>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0C"/>
    <w:rsid w:val="00000008"/>
    <w:rsid w:val="000006CD"/>
    <w:rsid w:val="00000DD2"/>
    <w:rsid w:val="000015E1"/>
    <w:rsid w:val="0000186C"/>
    <w:rsid w:val="00006206"/>
    <w:rsid w:val="000071C9"/>
    <w:rsid w:val="0000761B"/>
    <w:rsid w:val="000110EC"/>
    <w:rsid w:val="00017589"/>
    <w:rsid w:val="00020693"/>
    <w:rsid w:val="00022FA4"/>
    <w:rsid w:val="00027BD3"/>
    <w:rsid w:val="00031EED"/>
    <w:rsid w:val="00032308"/>
    <w:rsid w:val="000343DA"/>
    <w:rsid w:val="0003571A"/>
    <w:rsid w:val="000368C5"/>
    <w:rsid w:val="0004038B"/>
    <w:rsid w:val="00042BC9"/>
    <w:rsid w:val="000434FE"/>
    <w:rsid w:val="0005214F"/>
    <w:rsid w:val="00052D4F"/>
    <w:rsid w:val="0005458F"/>
    <w:rsid w:val="0005493C"/>
    <w:rsid w:val="00055D88"/>
    <w:rsid w:val="000561EF"/>
    <w:rsid w:val="000570A2"/>
    <w:rsid w:val="000608F3"/>
    <w:rsid w:val="00060BD9"/>
    <w:rsid w:val="0006114A"/>
    <w:rsid w:val="00062500"/>
    <w:rsid w:val="00063274"/>
    <w:rsid w:val="00064370"/>
    <w:rsid w:val="000703B6"/>
    <w:rsid w:val="0007708B"/>
    <w:rsid w:val="00081EA8"/>
    <w:rsid w:val="00090DB4"/>
    <w:rsid w:val="000950DC"/>
    <w:rsid w:val="00095EB3"/>
    <w:rsid w:val="00097508"/>
    <w:rsid w:val="00097A82"/>
    <w:rsid w:val="00097CF4"/>
    <w:rsid w:val="000A0A8B"/>
    <w:rsid w:val="000A1B40"/>
    <w:rsid w:val="000A65D3"/>
    <w:rsid w:val="000A7683"/>
    <w:rsid w:val="000B5007"/>
    <w:rsid w:val="000B62FD"/>
    <w:rsid w:val="000C0047"/>
    <w:rsid w:val="000C35E5"/>
    <w:rsid w:val="000D0416"/>
    <w:rsid w:val="000D06AF"/>
    <w:rsid w:val="000D0E85"/>
    <w:rsid w:val="000D231B"/>
    <w:rsid w:val="000D57E5"/>
    <w:rsid w:val="000D5D2F"/>
    <w:rsid w:val="000E2000"/>
    <w:rsid w:val="000E2BF8"/>
    <w:rsid w:val="000E2E89"/>
    <w:rsid w:val="000E7019"/>
    <w:rsid w:val="000F18F4"/>
    <w:rsid w:val="001000A1"/>
    <w:rsid w:val="00101FEA"/>
    <w:rsid w:val="0010275B"/>
    <w:rsid w:val="0010497B"/>
    <w:rsid w:val="00105A34"/>
    <w:rsid w:val="001074D8"/>
    <w:rsid w:val="00107869"/>
    <w:rsid w:val="00107C77"/>
    <w:rsid w:val="00107F75"/>
    <w:rsid w:val="00111168"/>
    <w:rsid w:val="00112AB4"/>
    <w:rsid w:val="001203EB"/>
    <w:rsid w:val="00122589"/>
    <w:rsid w:val="00126BDA"/>
    <w:rsid w:val="0013215B"/>
    <w:rsid w:val="001326B7"/>
    <w:rsid w:val="00134CD3"/>
    <w:rsid w:val="00135653"/>
    <w:rsid w:val="00136A2E"/>
    <w:rsid w:val="00147F49"/>
    <w:rsid w:val="00150739"/>
    <w:rsid w:val="001526B3"/>
    <w:rsid w:val="001528B3"/>
    <w:rsid w:val="00154C92"/>
    <w:rsid w:val="00162679"/>
    <w:rsid w:val="001651E7"/>
    <w:rsid w:val="00167750"/>
    <w:rsid w:val="00167FB2"/>
    <w:rsid w:val="00171E2F"/>
    <w:rsid w:val="00172807"/>
    <w:rsid w:val="001809D7"/>
    <w:rsid w:val="00183DF2"/>
    <w:rsid w:val="00184884"/>
    <w:rsid w:val="001927ED"/>
    <w:rsid w:val="00192ECA"/>
    <w:rsid w:val="001931E2"/>
    <w:rsid w:val="00193C1F"/>
    <w:rsid w:val="001A03BC"/>
    <w:rsid w:val="001A3384"/>
    <w:rsid w:val="001A3C65"/>
    <w:rsid w:val="001A76B7"/>
    <w:rsid w:val="001B1999"/>
    <w:rsid w:val="001B20EA"/>
    <w:rsid w:val="001B6C3C"/>
    <w:rsid w:val="001B7D9B"/>
    <w:rsid w:val="001C2653"/>
    <w:rsid w:val="001C3479"/>
    <w:rsid w:val="001C40D0"/>
    <w:rsid w:val="001C490B"/>
    <w:rsid w:val="001C4E90"/>
    <w:rsid w:val="001C79F6"/>
    <w:rsid w:val="001C7FAB"/>
    <w:rsid w:val="001D0BCC"/>
    <w:rsid w:val="001D1A9F"/>
    <w:rsid w:val="001D25FD"/>
    <w:rsid w:val="001D5F5F"/>
    <w:rsid w:val="001D64B2"/>
    <w:rsid w:val="001E297E"/>
    <w:rsid w:val="001E5058"/>
    <w:rsid w:val="001E5A3D"/>
    <w:rsid w:val="001E672C"/>
    <w:rsid w:val="001E6E23"/>
    <w:rsid w:val="001F0DB2"/>
    <w:rsid w:val="001F19E1"/>
    <w:rsid w:val="001F2DC2"/>
    <w:rsid w:val="001F556F"/>
    <w:rsid w:val="00200A93"/>
    <w:rsid w:val="0020171E"/>
    <w:rsid w:val="00203BC7"/>
    <w:rsid w:val="002051E3"/>
    <w:rsid w:val="002070EB"/>
    <w:rsid w:val="002078AD"/>
    <w:rsid w:val="00210BC3"/>
    <w:rsid w:val="00212608"/>
    <w:rsid w:val="002141C9"/>
    <w:rsid w:val="00215E37"/>
    <w:rsid w:val="0021736C"/>
    <w:rsid w:val="00224343"/>
    <w:rsid w:val="002276B3"/>
    <w:rsid w:val="00230EA7"/>
    <w:rsid w:val="002333ED"/>
    <w:rsid w:val="002337DA"/>
    <w:rsid w:val="002430D2"/>
    <w:rsid w:val="0024405F"/>
    <w:rsid w:val="0024482B"/>
    <w:rsid w:val="00244F16"/>
    <w:rsid w:val="002469E5"/>
    <w:rsid w:val="00256244"/>
    <w:rsid w:val="00257295"/>
    <w:rsid w:val="00257D1D"/>
    <w:rsid w:val="00260B3B"/>
    <w:rsid w:val="0026314F"/>
    <w:rsid w:val="00265922"/>
    <w:rsid w:val="00265975"/>
    <w:rsid w:val="00265A1B"/>
    <w:rsid w:val="0026643E"/>
    <w:rsid w:val="00267DDC"/>
    <w:rsid w:val="00275D1B"/>
    <w:rsid w:val="00275E83"/>
    <w:rsid w:val="00284DB6"/>
    <w:rsid w:val="00285C92"/>
    <w:rsid w:val="0028705E"/>
    <w:rsid w:val="002872A2"/>
    <w:rsid w:val="00287884"/>
    <w:rsid w:val="0029144B"/>
    <w:rsid w:val="00291FD9"/>
    <w:rsid w:val="00295EB5"/>
    <w:rsid w:val="002A1B3F"/>
    <w:rsid w:val="002A2F79"/>
    <w:rsid w:val="002A7E1C"/>
    <w:rsid w:val="002A7E85"/>
    <w:rsid w:val="002B1B4C"/>
    <w:rsid w:val="002B1B5C"/>
    <w:rsid w:val="002B305C"/>
    <w:rsid w:val="002B5E94"/>
    <w:rsid w:val="002B68AE"/>
    <w:rsid w:val="002B6C08"/>
    <w:rsid w:val="002C36F9"/>
    <w:rsid w:val="002C5713"/>
    <w:rsid w:val="002C6959"/>
    <w:rsid w:val="002C7393"/>
    <w:rsid w:val="002D06C9"/>
    <w:rsid w:val="002D1F84"/>
    <w:rsid w:val="002D55FF"/>
    <w:rsid w:val="002D6035"/>
    <w:rsid w:val="002D6972"/>
    <w:rsid w:val="002D703B"/>
    <w:rsid w:val="002D7E24"/>
    <w:rsid w:val="002E106D"/>
    <w:rsid w:val="002E10E5"/>
    <w:rsid w:val="002E299F"/>
    <w:rsid w:val="002F0B0B"/>
    <w:rsid w:val="002F2344"/>
    <w:rsid w:val="002F75FE"/>
    <w:rsid w:val="003012B2"/>
    <w:rsid w:val="00301409"/>
    <w:rsid w:val="00301F4F"/>
    <w:rsid w:val="0030379A"/>
    <w:rsid w:val="003108E9"/>
    <w:rsid w:val="003115E6"/>
    <w:rsid w:val="00311AE1"/>
    <w:rsid w:val="0031473D"/>
    <w:rsid w:val="00315F6C"/>
    <w:rsid w:val="00317EC8"/>
    <w:rsid w:val="0032022D"/>
    <w:rsid w:val="00320EBB"/>
    <w:rsid w:val="0033183C"/>
    <w:rsid w:val="00332FF3"/>
    <w:rsid w:val="00333AE7"/>
    <w:rsid w:val="0033412B"/>
    <w:rsid w:val="00335A5F"/>
    <w:rsid w:val="00337267"/>
    <w:rsid w:val="00337596"/>
    <w:rsid w:val="003417F7"/>
    <w:rsid w:val="00350502"/>
    <w:rsid w:val="0035484D"/>
    <w:rsid w:val="0035628F"/>
    <w:rsid w:val="00361232"/>
    <w:rsid w:val="00362EE8"/>
    <w:rsid w:val="0036615A"/>
    <w:rsid w:val="00367651"/>
    <w:rsid w:val="003725A4"/>
    <w:rsid w:val="003733FB"/>
    <w:rsid w:val="00374810"/>
    <w:rsid w:val="0037608B"/>
    <w:rsid w:val="0038106E"/>
    <w:rsid w:val="00384C89"/>
    <w:rsid w:val="00386CB4"/>
    <w:rsid w:val="00386D0C"/>
    <w:rsid w:val="00392F8E"/>
    <w:rsid w:val="00393CA9"/>
    <w:rsid w:val="00395070"/>
    <w:rsid w:val="00396837"/>
    <w:rsid w:val="003A2C4C"/>
    <w:rsid w:val="003A2CCB"/>
    <w:rsid w:val="003A4417"/>
    <w:rsid w:val="003A5863"/>
    <w:rsid w:val="003A6CF6"/>
    <w:rsid w:val="003B313A"/>
    <w:rsid w:val="003B4197"/>
    <w:rsid w:val="003B451F"/>
    <w:rsid w:val="003B551E"/>
    <w:rsid w:val="003C1641"/>
    <w:rsid w:val="003C1F15"/>
    <w:rsid w:val="003C2D2A"/>
    <w:rsid w:val="003C48CF"/>
    <w:rsid w:val="003C5811"/>
    <w:rsid w:val="003C661D"/>
    <w:rsid w:val="003D419B"/>
    <w:rsid w:val="003E0446"/>
    <w:rsid w:val="003E130E"/>
    <w:rsid w:val="003E39AE"/>
    <w:rsid w:val="003F0977"/>
    <w:rsid w:val="003F12B2"/>
    <w:rsid w:val="003F4089"/>
    <w:rsid w:val="00400214"/>
    <w:rsid w:val="0040158E"/>
    <w:rsid w:val="00403163"/>
    <w:rsid w:val="00403D36"/>
    <w:rsid w:val="004068DB"/>
    <w:rsid w:val="00407262"/>
    <w:rsid w:val="00407B4F"/>
    <w:rsid w:val="0041116D"/>
    <w:rsid w:val="004140BF"/>
    <w:rsid w:val="004155B9"/>
    <w:rsid w:val="004161BA"/>
    <w:rsid w:val="00416B84"/>
    <w:rsid w:val="00417FE7"/>
    <w:rsid w:val="00424749"/>
    <w:rsid w:val="00432149"/>
    <w:rsid w:val="00432B50"/>
    <w:rsid w:val="00433AB8"/>
    <w:rsid w:val="0043624A"/>
    <w:rsid w:val="00437A12"/>
    <w:rsid w:val="00440161"/>
    <w:rsid w:val="00441024"/>
    <w:rsid w:val="00441A0A"/>
    <w:rsid w:val="00441C64"/>
    <w:rsid w:val="00442709"/>
    <w:rsid w:val="00442C4D"/>
    <w:rsid w:val="00443E42"/>
    <w:rsid w:val="004447BB"/>
    <w:rsid w:val="00445245"/>
    <w:rsid w:val="0045044A"/>
    <w:rsid w:val="0045317F"/>
    <w:rsid w:val="00454032"/>
    <w:rsid w:val="0045419F"/>
    <w:rsid w:val="00454FAC"/>
    <w:rsid w:val="00456D14"/>
    <w:rsid w:val="00456E23"/>
    <w:rsid w:val="004577D4"/>
    <w:rsid w:val="00463C11"/>
    <w:rsid w:val="00463FC1"/>
    <w:rsid w:val="00464680"/>
    <w:rsid w:val="00464E31"/>
    <w:rsid w:val="00472F0C"/>
    <w:rsid w:val="004742AB"/>
    <w:rsid w:val="00474F70"/>
    <w:rsid w:val="004813B3"/>
    <w:rsid w:val="004815B8"/>
    <w:rsid w:val="004819DB"/>
    <w:rsid w:val="0048567C"/>
    <w:rsid w:val="00485E0E"/>
    <w:rsid w:val="00485F78"/>
    <w:rsid w:val="00486F8A"/>
    <w:rsid w:val="0048774A"/>
    <w:rsid w:val="004908BC"/>
    <w:rsid w:val="00492C9D"/>
    <w:rsid w:val="004A0F71"/>
    <w:rsid w:val="004A2042"/>
    <w:rsid w:val="004A4AC0"/>
    <w:rsid w:val="004A5B62"/>
    <w:rsid w:val="004A7028"/>
    <w:rsid w:val="004A76EF"/>
    <w:rsid w:val="004B1346"/>
    <w:rsid w:val="004B1A73"/>
    <w:rsid w:val="004B594F"/>
    <w:rsid w:val="004C054B"/>
    <w:rsid w:val="004C3C2F"/>
    <w:rsid w:val="004C4D17"/>
    <w:rsid w:val="004C6789"/>
    <w:rsid w:val="004D2AFA"/>
    <w:rsid w:val="004D2FC7"/>
    <w:rsid w:val="004D526B"/>
    <w:rsid w:val="004D7F65"/>
    <w:rsid w:val="004E3E39"/>
    <w:rsid w:val="004E4E6B"/>
    <w:rsid w:val="004E51B6"/>
    <w:rsid w:val="004E6CFE"/>
    <w:rsid w:val="004E7173"/>
    <w:rsid w:val="004E7EBA"/>
    <w:rsid w:val="004F055A"/>
    <w:rsid w:val="004F1413"/>
    <w:rsid w:val="004F3218"/>
    <w:rsid w:val="004F5397"/>
    <w:rsid w:val="004F6AFC"/>
    <w:rsid w:val="004F744C"/>
    <w:rsid w:val="004F74EE"/>
    <w:rsid w:val="005028FD"/>
    <w:rsid w:val="00512BF9"/>
    <w:rsid w:val="00513606"/>
    <w:rsid w:val="00520210"/>
    <w:rsid w:val="00521AA2"/>
    <w:rsid w:val="00521ADF"/>
    <w:rsid w:val="005230F4"/>
    <w:rsid w:val="00523E99"/>
    <w:rsid w:val="0053703C"/>
    <w:rsid w:val="005370E6"/>
    <w:rsid w:val="0053724B"/>
    <w:rsid w:val="00541A35"/>
    <w:rsid w:val="0054225F"/>
    <w:rsid w:val="0054340C"/>
    <w:rsid w:val="00543C52"/>
    <w:rsid w:val="00546169"/>
    <w:rsid w:val="00550769"/>
    <w:rsid w:val="00550E61"/>
    <w:rsid w:val="00550F78"/>
    <w:rsid w:val="005528DD"/>
    <w:rsid w:val="00553006"/>
    <w:rsid w:val="00553843"/>
    <w:rsid w:val="0055472B"/>
    <w:rsid w:val="00556C47"/>
    <w:rsid w:val="0056116C"/>
    <w:rsid w:val="00561ED0"/>
    <w:rsid w:val="0056260D"/>
    <w:rsid w:val="00563F12"/>
    <w:rsid w:val="005648C4"/>
    <w:rsid w:val="00571324"/>
    <w:rsid w:val="00571863"/>
    <w:rsid w:val="005821FE"/>
    <w:rsid w:val="0058438B"/>
    <w:rsid w:val="00584881"/>
    <w:rsid w:val="00584A93"/>
    <w:rsid w:val="005902B5"/>
    <w:rsid w:val="005A26A4"/>
    <w:rsid w:val="005A3124"/>
    <w:rsid w:val="005A6A3C"/>
    <w:rsid w:val="005B3F2C"/>
    <w:rsid w:val="005B40B2"/>
    <w:rsid w:val="005B55CC"/>
    <w:rsid w:val="005B74A8"/>
    <w:rsid w:val="005C0962"/>
    <w:rsid w:val="005C55A7"/>
    <w:rsid w:val="005C5E12"/>
    <w:rsid w:val="005C6B81"/>
    <w:rsid w:val="005D002B"/>
    <w:rsid w:val="005D1DF8"/>
    <w:rsid w:val="005D4BE1"/>
    <w:rsid w:val="005D54A2"/>
    <w:rsid w:val="005D6586"/>
    <w:rsid w:val="005D7027"/>
    <w:rsid w:val="005E05DE"/>
    <w:rsid w:val="005F107F"/>
    <w:rsid w:val="005F1C88"/>
    <w:rsid w:val="005F2D46"/>
    <w:rsid w:val="005F3085"/>
    <w:rsid w:val="00600298"/>
    <w:rsid w:val="00600621"/>
    <w:rsid w:val="006037F3"/>
    <w:rsid w:val="0060408B"/>
    <w:rsid w:val="00605407"/>
    <w:rsid w:val="006061DF"/>
    <w:rsid w:val="00613F11"/>
    <w:rsid w:val="006159C0"/>
    <w:rsid w:val="00616A15"/>
    <w:rsid w:val="0062075C"/>
    <w:rsid w:val="006216E2"/>
    <w:rsid w:val="00622AB9"/>
    <w:rsid w:val="0062514B"/>
    <w:rsid w:val="00636349"/>
    <w:rsid w:val="00643A3C"/>
    <w:rsid w:val="0064735B"/>
    <w:rsid w:val="0065289E"/>
    <w:rsid w:val="00652921"/>
    <w:rsid w:val="006530BA"/>
    <w:rsid w:val="00653536"/>
    <w:rsid w:val="00654A0E"/>
    <w:rsid w:val="006625C4"/>
    <w:rsid w:val="00664B67"/>
    <w:rsid w:val="00665079"/>
    <w:rsid w:val="006710DF"/>
    <w:rsid w:val="006718B2"/>
    <w:rsid w:val="00672A9C"/>
    <w:rsid w:val="00673A8E"/>
    <w:rsid w:val="00673F1A"/>
    <w:rsid w:val="00675FF2"/>
    <w:rsid w:val="00677724"/>
    <w:rsid w:val="00677F6D"/>
    <w:rsid w:val="00681BB4"/>
    <w:rsid w:val="00684D72"/>
    <w:rsid w:val="00686615"/>
    <w:rsid w:val="006978CC"/>
    <w:rsid w:val="006A002D"/>
    <w:rsid w:val="006A0FDF"/>
    <w:rsid w:val="006A2111"/>
    <w:rsid w:val="006A3D48"/>
    <w:rsid w:val="006A5FA9"/>
    <w:rsid w:val="006A7B36"/>
    <w:rsid w:val="006A7E69"/>
    <w:rsid w:val="006B083B"/>
    <w:rsid w:val="006B16C0"/>
    <w:rsid w:val="006B48B7"/>
    <w:rsid w:val="006B5775"/>
    <w:rsid w:val="006B7520"/>
    <w:rsid w:val="006C0A18"/>
    <w:rsid w:val="006C51AA"/>
    <w:rsid w:val="006C585C"/>
    <w:rsid w:val="006D07B7"/>
    <w:rsid w:val="006D093E"/>
    <w:rsid w:val="006D5992"/>
    <w:rsid w:val="006D65FD"/>
    <w:rsid w:val="006D6718"/>
    <w:rsid w:val="006D7248"/>
    <w:rsid w:val="006E2CF9"/>
    <w:rsid w:val="006E39ED"/>
    <w:rsid w:val="006E3A50"/>
    <w:rsid w:val="006E49BF"/>
    <w:rsid w:val="006E59DB"/>
    <w:rsid w:val="006E7CBC"/>
    <w:rsid w:val="006F0A65"/>
    <w:rsid w:val="006F1262"/>
    <w:rsid w:val="006F21A9"/>
    <w:rsid w:val="006F3039"/>
    <w:rsid w:val="006F395D"/>
    <w:rsid w:val="006F4BE4"/>
    <w:rsid w:val="006F531F"/>
    <w:rsid w:val="0070348B"/>
    <w:rsid w:val="00706FD7"/>
    <w:rsid w:val="00714335"/>
    <w:rsid w:val="00716997"/>
    <w:rsid w:val="00720B26"/>
    <w:rsid w:val="00722543"/>
    <w:rsid w:val="007237DB"/>
    <w:rsid w:val="00724DD1"/>
    <w:rsid w:val="0073157F"/>
    <w:rsid w:val="007320CC"/>
    <w:rsid w:val="007324F6"/>
    <w:rsid w:val="0073386A"/>
    <w:rsid w:val="00743324"/>
    <w:rsid w:val="007453D9"/>
    <w:rsid w:val="00751B84"/>
    <w:rsid w:val="0075220D"/>
    <w:rsid w:val="00753C3F"/>
    <w:rsid w:val="00757C65"/>
    <w:rsid w:val="00761362"/>
    <w:rsid w:val="00761F0C"/>
    <w:rsid w:val="007621D6"/>
    <w:rsid w:val="00762AE5"/>
    <w:rsid w:val="007636A9"/>
    <w:rsid w:val="007712B6"/>
    <w:rsid w:val="00771491"/>
    <w:rsid w:val="00783C43"/>
    <w:rsid w:val="00783F1B"/>
    <w:rsid w:val="00785C21"/>
    <w:rsid w:val="00786B1C"/>
    <w:rsid w:val="00787F0E"/>
    <w:rsid w:val="00790D45"/>
    <w:rsid w:val="0079684C"/>
    <w:rsid w:val="00796EEC"/>
    <w:rsid w:val="007A0EF2"/>
    <w:rsid w:val="007A1415"/>
    <w:rsid w:val="007A1543"/>
    <w:rsid w:val="007A3D1B"/>
    <w:rsid w:val="007A5BFC"/>
    <w:rsid w:val="007A63F1"/>
    <w:rsid w:val="007B1E7B"/>
    <w:rsid w:val="007B27F6"/>
    <w:rsid w:val="007B30E5"/>
    <w:rsid w:val="007B32E0"/>
    <w:rsid w:val="007B382B"/>
    <w:rsid w:val="007B4CC0"/>
    <w:rsid w:val="007B66D1"/>
    <w:rsid w:val="007B7A3C"/>
    <w:rsid w:val="007C1CE5"/>
    <w:rsid w:val="007C49CB"/>
    <w:rsid w:val="007C56C5"/>
    <w:rsid w:val="007C575A"/>
    <w:rsid w:val="007C5F45"/>
    <w:rsid w:val="007D2DFE"/>
    <w:rsid w:val="007D562D"/>
    <w:rsid w:val="007D6ECE"/>
    <w:rsid w:val="007D76F5"/>
    <w:rsid w:val="007E1C6C"/>
    <w:rsid w:val="007E331E"/>
    <w:rsid w:val="007E35BB"/>
    <w:rsid w:val="007E3C36"/>
    <w:rsid w:val="007E5728"/>
    <w:rsid w:val="007F0495"/>
    <w:rsid w:val="007F107F"/>
    <w:rsid w:val="007F1384"/>
    <w:rsid w:val="007F1FFB"/>
    <w:rsid w:val="007F48A7"/>
    <w:rsid w:val="007F4D4F"/>
    <w:rsid w:val="00800906"/>
    <w:rsid w:val="00804DCC"/>
    <w:rsid w:val="00804F1A"/>
    <w:rsid w:val="008109C3"/>
    <w:rsid w:val="00810FAE"/>
    <w:rsid w:val="00815B24"/>
    <w:rsid w:val="00817287"/>
    <w:rsid w:val="008204EF"/>
    <w:rsid w:val="00834498"/>
    <w:rsid w:val="00834FE4"/>
    <w:rsid w:val="00836928"/>
    <w:rsid w:val="0083789E"/>
    <w:rsid w:val="00842447"/>
    <w:rsid w:val="00845B4A"/>
    <w:rsid w:val="008462B8"/>
    <w:rsid w:val="00846509"/>
    <w:rsid w:val="00846F87"/>
    <w:rsid w:val="00850C32"/>
    <w:rsid w:val="00853238"/>
    <w:rsid w:val="00853CE8"/>
    <w:rsid w:val="00864037"/>
    <w:rsid w:val="0086430D"/>
    <w:rsid w:val="00867DD0"/>
    <w:rsid w:val="008749FD"/>
    <w:rsid w:val="008761DA"/>
    <w:rsid w:val="0088075B"/>
    <w:rsid w:val="00883364"/>
    <w:rsid w:val="00890DCD"/>
    <w:rsid w:val="008931F2"/>
    <w:rsid w:val="00893F1A"/>
    <w:rsid w:val="008964B6"/>
    <w:rsid w:val="008A0E41"/>
    <w:rsid w:val="008A100A"/>
    <w:rsid w:val="008A44AD"/>
    <w:rsid w:val="008A4EB3"/>
    <w:rsid w:val="008B0F4C"/>
    <w:rsid w:val="008B4D68"/>
    <w:rsid w:val="008B7277"/>
    <w:rsid w:val="008C0969"/>
    <w:rsid w:val="008C1A6A"/>
    <w:rsid w:val="008D5A81"/>
    <w:rsid w:val="008D5F7F"/>
    <w:rsid w:val="008D6801"/>
    <w:rsid w:val="008E06DD"/>
    <w:rsid w:val="008E1659"/>
    <w:rsid w:val="008E2940"/>
    <w:rsid w:val="008E6820"/>
    <w:rsid w:val="008E7E9C"/>
    <w:rsid w:val="008F0463"/>
    <w:rsid w:val="008F2334"/>
    <w:rsid w:val="008F7238"/>
    <w:rsid w:val="008F7924"/>
    <w:rsid w:val="00900718"/>
    <w:rsid w:val="009007FA"/>
    <w:rsid w:val="00901EE3"/>
    <w:rsid w:val="009022CA"/>
    <w:rsid w:val="009028AA"/>
    <w:rsid w:val="00905627"/>
    <w:rsid w:val="009057A7"/>
    <w:rsid w:val="00906DFE"/>
    <w:rsid w:val="00906F26"/>
    <w:rsid w:val="00911C08"/>
    <w:rsid w:val="00913802"/>
    <w:rsid w:val="00924E70"/>
    <w:rsid w:val="00926B93"/>
    <w:rsid w:val="00926D27"/>
    <w:rsid w:val="00927BCC"/>
    <w:rsid w:val="00927C49"/>
    <w:rsid w:val="00934FE8"/>
    <w:rsid w:val="0093533A"/>
    <w:rsid w:val="009403E0"/>
    <w:rsid w:val="00952A46"/>
    <w:rsid w:val="00953967"/>
    <w:rsid w:val="00954364"/>
    <w:rsid w:val="00960151"/>
    <w:rsid w:val="00960FC8"/>
    <w:rsid w:val="0096112D"/>
    <w:rsid w:val="00963C3F"/>
    <w:rsid w:val="00964AD4"/>
    <w:rsid w:val="009654F6"/>
    <w:rsid w:val="00965C65"/>
    <w:rsid w:val="00971532"/>
    <w:rsid w:val="00972125"/>
    <w:rsid w:val="00972B25"/>
    <w:rsid w:val="00973172"/>
    <w:rsid w:val="00974173"/>
    <w:rsid w:val="009758DE"/>
    <w:rsid w:val="0097666B"/>
    <w:rsid w:val="009772C2"/>
    <w:rsid w:val="00982F4B"/>
    <w:rsid w:val="009833DC"/>
    <w:rsid w:val="009841BA"/>
    <w:rsid w:val="00985597"/>
    <w:rsid w:val="0098661C"/>
    <w:rsid w:val="009869D8"/>
    <w:rsid w:val="00987800"/>
    <w:rsid w:val="009902A6"/>
    <w:rsid w:val="00991211"/>
    <w:rsid w:val="00996576"/>
    <w:rsid w:val="009A1D37"/>
    <w:rsid w:val="009A1DE0"/>
    <w:rsid w:val="009A1DF3"/>
    <w:rsid w:val="009A3348"/>
    <w:rsid w:val="009A3402"/>
    <w:rsid w:val="009A44A6"/>
    <w:rsid w:val="009B099E"/>
    <w:rsid w:val="009B1BCC"/>
    <w:rsid w:val="009B5336"/>
    <w:rsid w:val="009B5593"/>
    <w:rsid w:val="009B5F1E"/>
    <w:rsid w:val="009B642B"/>
    <w:rsid w:val="009B6C82"/>
    <w:rsid w:val="009B7829"/>
    <w:rsid w:val="009C1D40"/>
    <w:rsid w:val="009C1D43"/>
    <w:rsid w:val="009C5E9C"/>
    <w:rsid w:val="009C5F0D"/>
    <w:rsid w:val="009D1277"/>
    <w:rsid w:val="009D14D9"/>
    <w:rsid w:val="009D1EDC"/>
    <w:rsid w:val="009D6681"/>
    <w:rsid w:val="009E17F2"/>
    <w:rsid w:val="009E221D"/>
    <w:rsid w:val="009E2C01"/>
    <w:rsid w:val="009E58B4"/>
    <w:rsid w:val="009E7B51"/>
    <w:rsid w:val="009F14B5"/>
    <w:rsid w:val="009F2861"/>
    <w:rsid w:val="009F2900"/>
    <w:rsid w:val="009F2DCD"/>
    <w:rsid w:val="009F2E91"/>
    <w:rsid w:val="009F392A"/>
    <w:rsid w:val="009F4020"/>
    <w:rsid w:val="009F618D"/>
    <w:rsid w:val="009F7859"/>
    <w:rsid w:val="00A00DEC"/>
    <w:rsid w:val="00A06024"/>
    <w:rsid w:val="00A110BB"/>
    <w:rsid w:val="00A13752"/>
    <w:rsid w:val="00A13D4C"/>
    <w:rsid w:val="00A14B17"/>
    <w:rsid w:val="00A15F1C"/>
    <w:rsid w:val="00A1684F"/>
    <w:rsid w:val="00A16AAA"/>
    <w:rsid w:val="00A17D53"/>
    <w:rsid w:val="00A2116D"/>
    <w:rsid w:val="00A2142E"/>
    <w:rsid w:val="00A216CD"/>
    <w:rsid w:val="00A22EAB"/>
    <w:rsid w:val="00A26A72"/>
    <w:rsid w:val="00A32057"/>
    <w:rsid w:val="00A3227E"/>
    <w:rsid w:val="00A33E76"/>
    <w:rsid w:val="00A344C4"/>
    <w:rsid w:val="00A34F93"/>
    <w:rsid w:val="00A40EE0"/>
    <w:rsid w:val="00A41274"/>
    <w:rsid w:val="00A41353"/>
    <w:rsid w:val="00A43EA5"/>
    <w:rsid w:val="00A45B51"/>
    <w:rsid w:val="00A47398"/>
    <w:rsid w:val="00A47419"/>
    <w:rsid w:val="00A47626"/>
    <w:rsid w:val="00A47761"/>
    <w:rsid w:val="00A509A9"/>
    <w:rsid w:val="00A52C52"/>
    <w:rsid w:val="00A53699"/>
    <w:rsid w:val="00A53A68"/>
    <w:rsid w:val="00A56A41"/>
    <w:rsid w:val="00A56FB0"/>
    <w:rsid w:val="00A611D6"/>
    <w:rsid w:val="00A6340B"/>
    <w:rsid w:val="00A6634D"/>
    <w:rsid w:val="00A73814"/>
    <w:rsid w:val="00A739B7"/>
    <w:rsid w:val="00A743C3"/>
    <w:rsid w:val="00A772C4"/>
    <w:rsid w:val="00A80080"/>
    <w:rsid w:val="00A82B34"/>
    <w:rsid w:val="00A83E31"/>
    <w:rsid w:val="00A92436"/>
    <w:rsid w:val="00AA2553"/>
    <w:rsid w:val="00AA379C"/>
    <w:rsid w:val="00AA538C"/>
    <w:rsid w:val="00AB1D61"/>
    <w:rsid w:val="00AB7E9C"/>
    <w:rsid w:val="00AC043E"/>
    <w:rsid w:val="00AC1962"/>
    <w:rsid w:val="00AC3B06"/>
    <w:rsid w:val="00AC491C"/>
    <w:rsid w:val="00AD0D3C"/>
    <w:rsid w:val="00AD1A55"/>
    <w:rsid w:val="00AD6AF7"/>
    <w:rsid w:val="00AE21BF"/>
    <w:rsid w:val="00AE3805"/>
    <w:rsid w:val="00AE7201"/>
    <w:rsid w:val="00AF0676"/>
    <w:rsid w:val="00AF1858"/>
    <w:rsid w:val="00AF2EEE"/>
    <w:rsid w:val="00B008B8"/>
    <w:rsid w:val="00B00E5E"/>
    <w:rsid w:val="00B02179"/>
    <w:rsid w:val="00B03914"/>
    <w:rsid w:val="00B06BB4"/>
    <w:rsid w:val="00B073F1"/>
    <w:rsid w:val="00B1029B"/>
    <w:rsid w:val="00B11046"/>
    <w:rsid w:val="00B123DF"/>
    <w:rsid w:val="00B12F55"/>
    <w:rsid w:val="00B13528"/>
    <w:rsid w:val="00B139C4"/>
    <w:rsid w:val="00B16CBC"/>
    <w:rsid w:val="00B16D2C"/>
    <w:rsid w:val="00B17B4A"/>
    <w:rsid w:val="00B20774"/>
    <w:rsid w:val="00B257BA"/>
    <w:rsid w:val="00B25EAF"/>
    <w:rsid w:val="00B266F0"/>
    <w:rsid w:val="00B3231E"/>
    <w:rsid w:val="00B3343E"/>
    <w:rsid w:val="00B344E3"/>
    <w:rsid w:val="00B35077"/>
    <w:rsid w:val="00B36A4F"/>
    <w:rsid w:val="00B401C7"/>
    <w:rsid w:val="00B40374"/>
    <w:rsid w:val="00B408D0"/>
    <w:rsid w:val="00B4091B"/>
    <w:rsid w:val="00B422F4"/>
    <w:rsid w:val="00B47097"/>
    <w:rsid w:val="00B60AA5"/>
    <w:rsid w:val="00B60EFA"/>
    <w:rsid w:val="00B642A7"/>
    <w:rsid w:val="00B64BC0"/>
    <w:rsid w:val="00B66E2C"/>
    <w:rsid w:val="00B72A54"/>
    <w:rsid w:val="00B746C3"/>
    <w:rsid w:val="00B77494"/>
    <w:rsid w:val="00B77C0C"/>
    <w:rsid w:val="00B8150B"/>
    <w:rsid w:val="00B911D3"/>
    <w:rsid w:val="00B91BFA"/>
    <w:rsid w:val="00B93918"/>
    <w:rsid w:val="00BA2428"/>
    <w:rsid w:val="00BA35DD"/>
    <w:rsid w:val="00BA3862"/>
    <w:rsid w:val="00BA589E"/>
    <w:rsid w:val="00BA5E37"/>
    <w:rsid w:val="00BA6F0D"/>
    <w:rsid w:val="00BA7D3C"/>
    <w:rsid w:val="00BB49A4"/>
    <w:rsid w:val="00BC09E1"/>
    <w:rsid w:val="00BC1FC9"/>
    <w:rsid w:val="00BC21D2"/>
    <w:rsid w:val="00BC3693"/>
    <w:rsid w:val="00BD100D"/>
    <w:rsid w:val="00BD105D"/>
    <w:rsid w:val="00BD5172"/>
    <w:rsid w:val="00BD5CFD"/>
    <w:rsid w:val="00BD6578"/>
    <w:rsid w:val="00BD7627"/>
    <w:rsid w:val="00BE1129"/>
    <w:rsid w:val="00BE20F4"/>
    <w:rsid w:val="00BE3867"/>
    <w:rsid w:val="00BE40A3"/>
    <w:rsid w:val="00BF00E7"/>
    <w:rsid w:val="00BF075A"/>
    <w:rsid w:val="00BF07DD"/>
    <w:rsid w:val="00BF21DC"/>
    <w:rsid w:val="00BF22D5"/>
    <w:rsid w:val="00BF4A17"/>
    <w:rsid w:val="00BF5928"/>
    <w:rsid w:val="00BF684D"/>
    <w:rsid w:val="00BF6B32"/>
    <w:rsid w:val="00C025EC"/>
    <w:rsid w:val="00C03685"/>
    <w:rsid w:val="00C04525"/>
    <w:rsid w:val="00C05141"/>
    <w:rsid w:val="00C10DF2"/>
    <w:rsid w:val="00C21290"/>
    <w:rsid w:val="00C23800"/>
    <w:rsid w:val="00C2497F"/>
    <w:rsid w:val="00C2683A"/>
    <w:rsid w:val="00C26EA9"/>
    <w:rsid w:val="00C27647"/>
    <w:rsid w:val="00C30AD9"/>
    <w:rsid w:val="00C3327F"/>
    <w:rsid w:val="00C33E1E"/>
    <w:rsid w:val="00C37B2F"/>
    <w:rsid w:val="00C438DB"/>
    <w:rsid w:val="00C44E2F"/>
    <w:rsid w:val="00C456DC"/>
    <w:rsid w:val="00C46419"/>
    <w:rsid w:val="00C47590"/>
    <w:rsid w:val="00C518BF"/>
    <w:rsid w:val="00C52AD4"/>
    <w:rsid w:val="00C539E7"/>
    <w:rsid w:val="00C53CE6"/>
    <w:rsid w:val="00C54E7A"/>
    <w:rsid w:val="00C558D8"/>
    <w:rsid w:val="00C60059"/>
    <w:rsid w:val="00C6439E"/>
    <w:rsid w:val="00C65DC7"/>
    <w:rsid w:val="00C66D39"/>
    <w:rsid w:val="00C67188"/>
    <w:rsid w:val="00C729ED"/>
    <w:rsid w:val="00C754C3"/>
    <w:rsid w:val="00C7690A"/>
    <w:rsid w:val="00C76A74"/>
    <w:rsid w:val="00C81051"/>
    <w:rsid w:val="00C8197A"/>
    <w:rsid w:val="00C8282A"/>
    <w:rsid w:val="00C833F0"/>
    <w:rsid w:val="00C8515B"/>
    <w:rsid w:val="00C865CC"/>
    <w:rsid w:val="00C90EC9"/>
    <w:rsid w:val="00C925AA"/>
    <w:rsid w:val="00C978E8"/>
    <w:rsid w:val="00CA0BBB"/>
    <w:rsid w:val="00CA1390"/>
    <w:rsid w:val="00CA3032"/>
    <w:rsid w:val="00CA54CE"/>
    <w:rsid w:val="00CB0FF7"/>
    <w:rsid w:val="00CB1E0E"/>
    <w:rsid w:val="00CB3EA2"/>
    <w:rsid w:val="00CB4528"/>
    <w:rsid w:val="00CB63BA"/>
    <w:rsid w:val="00CB731A"/>
    <w:rsid w:val="00CC2F31"/>
    <w:rsid w:val="00CC780E"/>
    <w:rsid w:val="00CD1CFB"/>
    <w:rsid w:val="00CD4C21"/>
    <w:rsid w:val="00CD6F78"/>
    <w:rsid w:val="00CD738F"/>
    <w:rsid w:val="00CE0242"/>
    <w:rsid w:val="00CE0FC2"/>
    <w:rsid w:val="00CE57A0"/>
    <w:rsid w:val="00CE6115"/>
    <w:rsid w:val="00CE62B9"/>
    <w:rsid w:val="00CF4752"/>
    <w:rsid w:val="00CF6617"/>
    <w:rsid w:val="00CF7536"/>
    <w:rsid w:val="00D02EE3"/>
    <w:rsid w:val="00D03623"/>
    <w:rsid w:val="00D0530C"/>
    <w:rsid w:val="00D05A82"/>
    <w:rsid w:val="00D07A0E"/>
    <w:rsid w:val="00D11DCB"/>
    <w:rsid w:val="00D141EC"/>
    <w:rsid w:val="00D154B1"/>
    <w:rsid w:val="00D15501"/>
    <w:rsid w:val="00D17257"/>
    <w:rsid w:val="00D209C9"/>
    <w:rsid w:val="00D2539A"/>
    <w:rsid w:val="00D319FF"/>
    <w:rsid w:val="00D43DA1"/>
    <w:rsid w:val="00D45828"/>
    <w:rsid w:val="00D47F83"/>
    <w:rsid w:val="00D50739"/>
    <w:rsid w:val="00D52E8D"/>
    <w:rsid w:val="00D540FC"/>
    <w:rsid w:val="00D55D26"/>
    <w:rsid w:val="00D61A51"/>
    <w:rsid w:val="00D61ACD"/>
    <w:rsid w:val="00D63C08"/>
    <w:rsid w:val="00D64275"/>
    <w:rsid w:val="00D70786"/>
    <w:rsid w:val="00D72195"/>
    <w:rsid w:val="00D7326D"/>
    <w:rsid w:val="00D73C36"/>
    <w:rsid w:val="00D770FD"/>
    <w:rsid w:val="00D77654"/>
    <w:rsid w:val="00D77828"/>
    <w:rsid w:val="00D8000A"/>
    <w:rsid w:val="00D833BC"/>
    <w:rsid w:val="00D8637E"/>
    <w:rsid w:val="00D90E9E"/>
    <w:rsid w:val="00D91DC6"/>
    <w:rsid w:val="00D9485A"/>
    <w:rsid w:val="00D9691A"/>
    <w:rsid w:val="00D9752B"/>
    <w:rsid w:val="00D97C17"/>
    <w:rsid w:val="00DA1DD6"/>
    <w:rsid w:val="00DA1EF1"/>
    <w:rsid w:val="00DA5133"/>
    <w:rsid w:val="00DA7D0A"/>
    <w:rsid w:val="00DB5017"/>
    <w:rsid w:val="00DB67D0"/>
    <w:rsid w:val="00DC05A9"/>
    <w:rsid w:val="00DC19FF"/>
    <w:rsid w:val="00DC26FC"/>
    <w:rsid w:val="00DC4133"/>
    <w:rsid w:val="00DC49B0"/>
    <w:rsid w:val="00DC599A"/>
    <w:rsid w:val="00DC64DE"/>
    <w:rsid w:val="00DC77FC"/>
    <w:rsid w:val="00DD479A"/>
    <w:rsid w:val="00DD766E"/>
    <w:rsid w:val="00DE2BED"/>
    <w:rsid w:val="00DE41C7"/>
    <w:rsid w:val="00DE6A62"/>
    <w:rsid w:val="00DF0E65"/>
    <w:rsid w:val="00DF2B2D"/>
    <w:rsid w:val="00DF4A88"/>
    <w:rsid w:val="00DF522C"/>
    <w:rsid w:val="00DF5375"/>
    <w:rsid w:val="00E03D03"/>
    <w:rsid w:val="00E06062"/>
    <w:rsid w:val="00E07DA5"/>
    <w:rsid w:val="00E13F2E"/>
    <w:rsid w:val="00E166F7"/>
    <w:rsid w:val="00E17953"/>
    <w:rsid w:val="00E17F16"/>
    <w:rsid w:val="00E20E68"/>
    <w:rsid w:val="00E213D3"/>
    <w:rsid w:val="00E22787"/>
    <w:rsid w:val="00E24987"/>
    <w:rsid w:val="00E255CF"/>
    <w:rsid w:val="00E25DDD"/>
    <w:rsid w:val="00E270B3"/>
    <w:rsid w:val="00E30731"/>
    <w:rsid w:val="00E30B67"/>
    <w:rsid w:val="00E326AA"/>
    <w:rsid w:val="00E34265"/>
    <w:rsid w:val="00E35D20"/>
    <w:rsid w:val="00E36336"/>
    <w:rsid w:val="00E373E4"/>
    <w:rsid w:val="00E405C8"/>
    <w:rsid w:val="00E41035"/>
    <w:rsid w:val="00E44DAA"/>
    <w:rsid w:val="00E44E31"/>
    <w:rsid w:val="00E51B6D"/>
    <w:rsid w:val="00E51E91"/>
    <w:rsid w:val="00E51FAE"/>
    <w:rsid w:val="00E548F6"/>
    <w:rsid w:val="00E54CA7"/>
    <w:rsid w:val="00E5763C"/>
    <w:rsid w:val="00E61F58"/>
    <w:rsid w:val="00E63473"/>
    <w:rsid w:val="00E64D55"/>
    <w:rsid w:val="00E64D81"/>
    <w:rsid w:val="00E66D2A"/>
    <w:rsid w:val="00E77B08"/>
    <w:rsid w:val="00E82D76"/>
    <w:rsid w:val="00E8441C"/>
    <w:rsid w:val="00E94E1A"/>
    <w:rsid w:val="00EA11BD"/>
    <w:rsid w:val="00EA4A80"/>
    <w:rsid w:val="00EA5C08"/>
    <w:rsid w:val="00EB2F9D"/>
    <w:rsid w:val="00EB4D65"/>
    <w:rsid w:val="00EB6CD2"/>
    <w:rsid w:val="00EC0B0A"/>
    <w:rsid w:val="00EC1AC8"/>
    <w:rsid w:val="00EC29AF"/>
    <w:rsid w:val="00EC5DF7"/>
    <w:rsid w:val="00ED0A6D"/>
    <w:rsid w:val="00ED375E"/>
    <w:rsid w:val="00ED63C8"/>
    <w:rsid w:val="00ED7EDA"/>
    <w:rsid w:val="00EE48D5"/>
    <w:rsid w:val="00EE4DF7"/>
    <w:rsid w:val="00EE6BE1"/>
    <w:rsid w:val="00EF033F"/>
    <w:rsid w:val="00EF057B"/>
    <w:rsid w:val="00EF12ED"/>
    <w:rsid w:val="00EF6750"/>
    <w:rsid w:val="00F030B3"/>
    <w:rsid w:val="00F06C50"/>
    <w:rsid w:val="00F1605E"/>
    <w:rsid w:val="00F16F5D"/>
    <w:rsid w:val="00F20338"/>
    <w:rsid w:val="00F210C2"/>
    <w:rsid w:val="00F23A2C"/>
    <w:rsid w:val="00F25C80"/>
    <w:rsid w:val="00F402C4"/>
    <w:rsid w:val="00F40516"/>
    <w:rsid w:val="00F410DE"/>
    <w:rsid w:val="00F41ECF"/>
    <w:rsid w:val="00F42815"/>
    <w:rsid w:val="00F43075"/>
    <w:rsid w:val="00F43594"/>
    <w:rsid w:val="00F43C35"/>
    <w:rsid w:val="00F461D8"/>
    <w:rsid w:val="00F51178"/>
    <w:rsid w:val="00F51572"/>
    <w:rsid w:val="00F543B2"/>
    <w:rsid w:val="00F57200"/>
    <w:rsid w:val="00F573C3"/>
    <w:rsid w:val="00F6164C"/>
    <w:rsid w:val="00F62A16"/>
    <w:rsid w:val="00F62A50"/>
    <w:rsid w:val="00F6388F"/>
    <w:rsid w:val="00F65CB7"/>
    <w:rsid w:val="00F65F74"/>
    <w:rsid w:val="00F7095E"/>
    <w:rsid w:val="00F71B0E"/>
    <w:rsid w:val="00F71B8E"/>
    <w:rsid w:val="00F721CB"/>
    <w:rsid w:val="00F73D06"/>
    <w:rsid w:val="00F76D55"/>
    <w:rsid w:val="00FA0C88"/>
    <w:rsid w:val="00FA2EDF"/>
    <w:rsid w:val="00FB0FDA"/>
    <w:rsid w:val="00FB2F7A"/>
    <w:rsid w:val="00FB33E2"/>
    <w:rsid w:val="00FB40F5"/>
    <w:rsid w:val="00FB44E6"/>
    <w:rsid w:val="00FB4FF3"/>
    <w:rsid w:val="00FB7915"/>
    <w:rsid w:val="00FC3F0B"/>
    <w:rsid w:val="00FC45AE"/>
    <w:rsid w:val="00FD25F1"/>
    <w:rsid w:val="00FD585D"/>
    <w:rsid w:val="00FD63FE"/>
    <w:rsid w:val="00FD707B"/>
    <w:rsid w:val="00FE1139"/>
    <w:rsid w:val="00FE6778"/>
    <w:rsid w:val="00FF2227"/>
    <w:rsid w:val="00FF2855"/>
    <w:rsid w:val="00FF432B"/>
    <w:rsid w:val="00FF55FD"/>
    <w:rsid w:val="00FF590D"/>
    <w:rsid w:val="03166864"/>
    <w:rsid w:val="0422595F"/>
    <w:rsid w:val="06DD7691"/>
    <w:rsid w:val="08F75006"/>
    <w:rsid w:val="0B4F3BB6"/>
    <w:rsid w:val="0BA008BC"/>
    <w:rsid w:val="0C273FB1"/>
    <w:rsid w:val="0C696605"/>
    <w:rsid w:val="0C78186D"/>
    <w:rsid w:val="0E1C4A2D"/>
    <w:rsid w:val="0EDB349E"/>
    <w:rsid w:val="10490FF3"/>
    <w:rsid w:val="10827B27"/>
    <w:rsid w:val="10BB265B"/>
    <w:rsid w:val="10CA51BE"/>
    <w:rsid w:val="110A3B22"/>
    <w:rsid w:val="158F5797"/>
    <w:rsid w:val="184B7A44"/>
    <w:rsid w:val="18997E8A"/>
    <w:rsid w:val="193B14D6"/>
    <w:rsid w:val="1A9E48B4"/>
    <w:rsid w:val="1B1E3FE0"/>
    <w:rsid w:val="1CA20C7B"/>
    <w:rsid w:val="21AC54E8"/>
    <w:rsid w:val="232917E2"/>
    <w:rsid w:val="2A700E60"/>
    <w:rsid w:val="2AF05640"/>
    <w:rsid w:val="2F38525A"/>
    <w:rsid w:val="2FD6556D"/>
    <w:rsid w:val="30192FAE"/>
    <w:rsid w:val="30D75C41"/>
    <w:rsid w:val="3270732E"/>
    <w:rsid w:val="36E151AD"/>
    <w:rsid w:val="38FF7063"/>
    <w:rsid w:val="392059B1"/>
    <w:rsid w:val="39B310C3"/>
    <w:rsid w:val="3A424135"/>
    <w:rsid w:val="3C487BC6"/>
    <w:rsid w:val="3F9C0E16"/>
    <w:rsid w:val="418F376E"/>
    <w:rsid w:val="439174AD"/>
    <w:rsid w:val="440A54E2"/>
    <w:rsid w:val="44BE6357"/>
    <w:rsid w:val="45BA646C"/>
    <w:rsid w:val="49220B0C"/>
    <w:rsid w:val="4932532E"/>
    <w:rsid w:val="4CF519F0"/>
    <w:rsid w:val="509F69E3"/>
    <w:rsid w:val="519A2F7F"/>
    <w:rsid w:val="53E9511C"/>
    <w:rsid w:val="547345A1"/>
    <w:rsid w:val="55731009"/>
    <w:rsid w:val="58981CE0"/>
    <w:rsid w:val="59FF4F77"/>
    <w:rsid w:val="5C4D5DA4"/>
    <w:rsid w:val="609C2B17"/>
    <w:rsid w:val="60BF1305"/>
    <w:rsid w:val="630511E6"/>
    <w:rsid w:val="63716A26"/>
    <w:rsid w:val="65015824"/>
    <w:rsid w:val="65906D7E"/>
    <w:rsid w:val="66AA6B3D"/>
    <w:rsid w:val="66B92C93"/>
    <w:rsid w:val="68DA7A9E"/>
    <w:rsid w:val="695E0580"/>
    <w:rsid w:val="69DE00D7"/>
    <w:rsid w:val="69FD7EAC"/>
    <w:rsid w:val="6A240582"/>
    <w:rsid w:val="6A683A6C"/>
    <w:rsid w:val="6AC26C77"/>
    <w:rsid w:val="6B7B3E1D"/>
    <w:rsid w:val="6E7F56E6"/>
    <w:rsid w:val="6ECE70EE"/>
    <w:rsid w:val="6FF7407B"/>
    <w:rsid w:val="704A466B"/>
    <w:rsid w:val="718662CB"/>
    <w:rsid w:val="73201854"/>
    <w:rsid w:val="741D2645"/>
    <w:rsid w:val="74320BFD"/>
    <w:rsid w:val="75085E09"/>
    <w:rsid w:val="758E6FA4"/>
    <w:rsid w:val="75C3412C"/>
    <w:rsid w:val="76BF2F9E"/>
    <w:rsid w:val="78395E11"/>
    <w:rsid w:val="78427B6A"/>
    <w:rsid w:val="7870020A"/>
    <w:rsid w:val="790459E8"/>
    <w:rsid w:val="797C766E"/>
    <w:rsid w:val="7A7A624B"/>
    <w:rsid w:val="7BAF285B"/>
    <w:rsid w:val="7E17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semiHidden/>
    <w:qFormat/>
    <w:uiPriority w:val="0"/>
    <w:pPr>
      <w:ind w:left="1050"/>
      <w:jc w:val="left"/>
    </w:pPr>
    <w:rPr>
      <w:sz w:val="20"/>
      <w:szCs w:val="20"/>
    </w:rPr>
  </w:style>
  <w:style w:type="paragraph" w:styleId="5">
    <w:name w:val="Document Map"/>
    <w:basedOn w:val="1"/>
    <w:semiHidden/>
    <w:qFormat/>
    <w:uiPriority w:val="0"/>
    <w:pPr>
      <w:shd w:val="clear" w:color="auto" w:fill="000080"/>
    </w:pPr>
  </w:style>
  <w:style w:type="paragraph" w:styleId="6">
    <w:name w:val="annotation text"/>
    <w:basedOn w:val="1"/>
    <w:link w:val="33"/>
    <w:unhideWhenUsed/>
    <w:qFormat/>
    <w:uiPriority w:val="99"/>
    <w:pPr>
      <w:jc w:val="left"/>
    </w:pPr>
    <w:rPr>
      <w:rFonts w:ascii="Calibri" w:hAnsi="Calibri"/>
      <w:szCs w:val="22"/>
    </w:rPr>
  </w:style>
  <w:style w:type="paragraph" w:styleId="7">
    <w:name w:val="Body Text"/>
    <w:basedOn w:val="1"/>
    <w:qFormat/>
    <w:uiPriority w:val="0"/>
    <w:rPr>
      <w:sz w:val="28"/>
      <w:szCs w:val="20"/>
    </w:rPr>
  </w:style>
  <w:style w:type="paragraph" w:styleId="8">
    <w:name w:val="toc 5"/>
    <w:basedOn w:val="1"/>
    <w:next w:val="1"/>
    <w:semiHidden/>
    <w:qFormat/>
    <w:uiPriority w:val="0"/>
    <w:pPr>
      <w:ind w:left="630"/>
      <w:jc w:val="left"/>
    </w:pPr>
    <w:rPr>
      <w:sz w:val="20"/>
      <w:szCs w:val="20"/>
    </w:rPr>
  </w:style>
  <w:style w:type="paragraph" w:styleId="9">
    <w:name w:val="toc 3"/>
    <w:basedOn w:val="1"/>
    <w:next w:val="1"/>
    <w:semiHidden/>
    <w:qFormat/>
    <w:uiPriority w:val="0"/>
    <w:pPr>
      <w:ind w:left="210"/>
      <w:jc w:val="left"/>
    </w:pPr>
    <w:rPr>
      <w:sz w:val="20"/>
      <w:szCs w:val="20"/>
    </w:rPr>
  </w:style>
  <w:style w:type="paragraph" w:styleId="10">
    <w:name w:val="Plain Text"/>
    <w:basedOn w:val="1"/>
    <w:qFormat/>
    <w:uiPriority w:val="0"/>
    <w:rPr>
      <w:rFonts w:ascii="宋体" w:hAnsi="Courier New"/>
      <w:szCs w:val="21"/>
    </w:rPr>
  </w:style>
  <w:style w:type="paragraph" w:styleId="11">
    <w:name w:val="toc 8"/>
    <w:basedOn w:val="1"/>
    <w:next w:val="1"/>
    <w:semiHidden/>
    <w:qFormat/>
    <w:uiPriority w:val="0"/>
    <w:pPr>
      <w:ind w:left="1260"/>
      <w:jc w:val="left"/>
    </w:pPr>
    <w:rPr>
      <w:sz w:val="20"/>
      <w:szCs w:val="20"/>
    </w:rPr>
  </w:style>
  <w:style w:type="paragraph" w:styleId="12">
    <w:name w:val="endnote text"/>
    <w:basedOn w:val="1"/>
    <w:semiHidden/>
    <w:qFormat/>
    <w:uiPriority w:val="0"/>
    <w:pPr>
      <w:snapToGrid w:val="0"/>
      <w:jc w:val="left"/>
    </w:pPr>
  </w:style>
  <w:style w:type="paragraph" w:styleId="13">
    <w:name w:val="Balloon Text"/>
    <w:basedOn w:val="1"/>
    <w:semiHidden/>
    <w:qFormat/>
    <w:uiPriority w:val="0"/>
    <w:rPr>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360"/>
      <w:jc w:val="left"/>
    </w:pPr>
    <w:rPr>
      <w:rFonts w:ascii="Arial" w:hAnsi="Arial" w:cs="Arial"/>
      <w:b/>
      <w:bCs/>
      <w:caps/>
      <w:sz w:val="24"/>
    </w:rPr>
  </w:style>
  <w:style w:type="paragraph" w:styleId="17">
    <w:name w:val="toc 4"/>
    <w:basedOn w:val="1"/>
    <w:next w:val="1"/>
    <w:semiHidden/>
    <w:qFormat/>
    <w:uiPriority w:val="0"/>
    <w:pPr>
      <w:ind w:left="420"/>
      <w:jc w:val="left"/>
    </w:pPr>
    <w:rPr>
      <w:sz w:val="20"/>
      <w:szCs w:val="20"/>
    </w:rPr>
  </w:style>
  <w:style w:type="paragraph" w:styleId="18">
    <w:name w:val="footnote text"/>
    <w:basedOn w:val="1"/>
    <w:semiHidden/>
    <w:qFormat/>
    <w:uiPriority w:val="0"/>
    <w:pPr>
      <w:snapToGrid w:val="0"/>
      <w:jc w:val="left"/>
    </w:pPr>
    <w:rPr>
      <w:sz w:val="18"/>
      <w:szCs w:val="18"/>
    </w:rPr>
  </w:style>
  <w:style w:type="paragraph" w:styleId="19">
    <w:name w:val="toc 6"/>
    <w:basedOn w:val="1"/>
    <w:next w:val="1"/>
    <w:semiHidden/>
    <w:qFormat/>
    <w:uiPriority w:val="0"/>
    <w:pPr>
      <w:ind w:left="840"/>
      <w:jc w:val="left"/>
    </w:pPr>
    <w:rPr>
      <w:sz w:val="20"/>
      <w:szCs w:val="20"/>
    </w:rPr>
  </w:style>
  <w:style w:type="paragraph" w:styleId="20">
    <w:name w:val="toc 2"/>
    <w:basedOn w:val="1"/>
    <w:next w:val="1"/>
    <w:qFormat/>
    <w:uiPriority w:val="39"/>
    <w:pPr>
      <w:spacing w:before="240"/>
      <w:jc w:val="left"/>
    </w:pPr>
    <w:rPr>
      <w:b/>
      <w:bCs/>
      <w:sz w:val="20"/>
      <w:szCs w:val="20"/>
    </w:rPr>
  </w:style>
  <w:style w:type="paragraph" w:styleId="21">
    <w:name w:val="toc 9"/>
    <w:basedOn w:val="1"/>
    <w:next w:val="1"/>
    <w:semiHidden/>
    <w:qFormat/>
    <w:uiPriority w:val="0"/>
    <w:pPr>
      <w:ind w:left="1470"/>
      <w:jc w:val="left"/>
    </w:pPr>
    <w:rPr>
      <w:sz w:val="20"/>
      <w:szCs w:val="20"/>
    </w:rPr>
  </w:style>
  <w:style w:type="paragraph" w:styleId="22">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23">
    <w:name w:val="annotation subject"/>
    <w:basedOn w:val="6"/>
    <w:next w:val="6"/>
    <w:semiHidden/>
    <w:qFormat/>
    <w:uiPriority w:val="0"/>
    <w:rPr>
      <w:rFonts w:ascii="Times New Roman" w:hAnsi="Times New Roman"/>
      <w:b/>
      <w:bCs/>
      <w:szCs w:val="24"/>
    </w:rPr>
  </w:style>
  <w:style w:type="table" w:styleId="25">
    <w:name w:val="Table Grid"/>
    <w:basedOn w:val="24"/>
    <w:qFormat/>
    <w:uiPriority w:val="39"/>
    <w:rPr>
      <w:rFonts w:ascii="DengXian" w:hAnsi="DengXian" w:eastAsia="DengXian"/>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endnote reference"/>
    <w:semiHidden/>
    <w:qFormat/>
    <w:uiPriority w:val="0"/>
    <w:rPr>
      <w:vertAlign w:val="superscript"/>
    </w:rPr>
  </w:style>
  <w:style w:type="character" w:styleId="28">
    <w:name w:val="page number"/>
    <w:basedOn w:val="26"/>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styleId="31">
    <w:name w:val="annotation reference"/>
    <w:unhideWhenUsed/>
    <w:qFormat/>
    <w:uiPriority w:val="99"/>
    <w:rPr>
      <w:sz w:val="21"/>
      <w:szCs w:val="21"/>
    </w:rPr>
  </w:style>
  <w:style w:type="character" w:styleId="32">
    <w:name w:val="footnote reference"/>
    <w:semiHidden/>
    <w:qFormat/>
    <w:uiPriority w:val="0"/>
    <w:rPr>
      <w:vertAlign w:val="superscript"/>
    </w:rPr>
  </w:style>
  <w:style w:type="character" w:customStyle="1" w:styleId="33">
    <w:name w:val="批注文字 字符"/>
    <w:link w:val="6"/>
    <w:qFormat/>
    <w:uiPriority w:val="99"/>
    <w:rPr>
      <w:rFonts w:ascii="Calibri" w:hAnsi="Calibri" w:eastAsia="宋体"/>
      <w:kern w:val="2"/>
      <w:sz w:val="21"/>
      <w:szCs w:val="22"/>
      <w:lang w:val="en-US" w:eastAsia="zh-CN" w:bidi="ar-SA"/>
    </w:rPr>
  </w:style>
  <w:style w:type="paragraph" w:customStyle="1" w:styleId="34">
    <w:name w:val="Char"/>
    <w:basedOn w:val="1"/>
    <w:qFormat/>
    <w:uiPriority w:val="0"/>
    <w:rPr>
      <w:rFonts w:ascii="Tahoma" w:hAnsi="Tahoma"/>
      <w:sz w:val="24"/>
    </w:rPr>
  </w:style>
  <w:style w:type="paragraph" w:customStyle="1" w:styleId="35">
    <w:name w:val="Char Char1 Char Char Char"/>
    <w:basedOn w:val="5"/>
    <w:qFormat/>
    <w:uiPriority w:val="0"/>
    <w:pPr>
      <w:adjustRightInd w:val="0"/>
      <w:spacing w:line="436" w:lineRule="exact"/>
    </w:pPr>
    <w:rPr>
      <w:szCs w:val="20"/>
    </w:rPr>
  </w:style>
  <w:style w:type="character" w:customStyle="1" w:styleId="36">
    <w:name w:val="HTML 预设格式 字符1"/>
    <w:link w:val="22"/>
    <w:qFormat/>
    <w:uiPriority w:val="0"/>
    <w:rPr>
      <w:rFonts w:ascii="宋体" w:hAnsi="宋体" w:cs="宋体"/>
      <w:sz w:val="24"/>
      <w:szCs w:val="24"/>
    </w:rPr>
  </w:style>
  <w:style w:type="character" w:customStyle="1" w:styleId="37">
    <w:name w:val="HTML 预设格式 字符"/>
    <w:qFormat/>
    <w:uiPriority w:val="0"/>
    <w:rPr>
      <w:rFonts w:ascii="Courier New" w:hAnsi="Courier New" w:cs="Courier New"/>
      <w:kern w:val="2"/>
    </w:rPr>
  </w:style>
  <w:style w:type="paragraph" w:styleId="38">
    <w:name w:val="List Paragraph"/>
    <w:basedOn w:val="1"/>
    <w:qFormat/>
    <w:uiPriority w:val="34"/>
    <w:pPr>
      <w:ind w:firstLine="420" w:firstLineChars="200"/>
    </w:p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页脚 字符"/>
    <w:link w:val="14"/>
    <w:qFormat/>
    <w:uiPriority w:val="99"/>
    <w:rPr>
      <w:kern w:val="2"/>
      <w:sz w:val="18"/>
      <w:szCs w:val="18"/>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B88741-BE4A-9741-8A9A-493A82BEFC3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4270</Words>
  <Characters>24339</Characters>
  <Lines>202</Lines>
  <Paragraphs>57</Paragraphs>
  <TotalTime>15</TotalTime>
  <ScaleCrop>false</ScaleCrop>
  <LinksUpToDate>false</LinksUpToDate>
  <CharactersWithSpaces>28552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2020-10-30T02:07:00Z</dcterms:created>
  <dc:creator>微软用户</dc:creator>
  <cp:lastModifiedBy>ss</cp:lastModifiedBy>
  <cp:lastPrinted>2020-12-04T08:36:00Z</cp:lastPrinted>
  <dcterms:modified xsi:type="dcterms:W3CDTF">2020-12-09T05:52:19Z</dcterms:modified>
  <dc:title>第一条</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