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5</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4</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重要动态</w:t>
      </w:r>
    </w:p>
    <w:p>
      <w:pPr>
        <w:widowControl w:val="0"/>
        <w:numPr>
          <w:ilvl w:val="255"/>
          <w:numId w:val="0"/>
        </w:numPr>
        <w:spacing w:line="600" w:lineRule="exact"/>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上海市国资国企改革发展暨党建工作会议召开</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近日，2024年上海市国资国企改革发展暨党建工作会议召开。</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副市长华源出席会议并讲话。华源同志充分肯定了2023年市国资国企改革发展和党建各项工作取得的积极成效。他指出，上海国资国企攻坚克难、担当作为，稳增长促发展贡献突出，国资国企改革再谋新篇，服务重大战略积极有为，主题教育成果显著，为全市经济社会高质量发展作出了重要贡献，体现了国资国企顶梁柱作用。</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华源同志强调，2024年是中华人民共和国成立75周年，是实施“十四五”规划的关键一年。上海国资国企要深入贯彻落实习近平总书记考察上海重要讲话精神和党中央、国务院及市委、市政府对国资国企改革发展的决策部署。要准确把握当前国资国企改革发展的内外部形势。要扎实推进国企改革深化提升行动，把握好更加注重功能使命、价值创造、系统观念、精准高效的总体要求，把握好实施国企改革深化提升行动的重点任务，加快布局科技创新和战新产业，加快推进投资运营公司改革，加快推进存量资源盘活利用，加快推动上海国企高质量“走出去”，加快构建“一企一策”考核制度体系。要着力防范化解重点领域风险，坚守主责主业，加强风险预警预判，加快存量风险处置。要切实加强国有企业党的领导党的建设，坚持把党的政治建设摆在首位，完善中国特色国有企业现代公司治理，加强干部人才队伍建设，坚定不移推进全面从严治党。</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市委组织部副部长、市委党建办主任孙甘霖对加强上海国企党建工作提出要求。她指出，要深入学习宣传贯彻习近平总书记考察上海重要讲话精神，增强抓好国企党建的责任感使命感；推进党的组织体系全覆盖，把加强党的领导落实到企业改革发展各环节、最基层；充分发挥党的组织优势，把国企党组织建设成为有效实现党的领导的坚强战斗堡垒；着眼当好现代化建设的排头兵、先行者，打造高素质专业化国企干部人才队伍；坚定不移全面从严治党，切实担负起管党治党的政治责任。</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市国资委党委书记、主任贺青总结和部署上海国资国企工作任务。他表示，上海国资国企将坚持学习贯彻习近平总书记考察上海重要讲话精神和推进国企改革深化提升行动相结合，推动国有企业发挥科技创新、产业控制、安全支撑“三个作用”与助力上海“五个中心”建设、发挥主力军压舱石作用相结合，推动国有经济提质增效与优化国资监管相结合，着力增强核心功能、提高核心竞争力，力争全年主要经营指标增速达到5%以上。</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2024年上海国资国企将以国企改革深化提升行动为主线，重点在七个方面实现深化提升：</w:t>
      </w:r>
      <w:r>
        <w:rPr>
          <w:rFonts w:hint="eastAsia" w:ascii="Times New Roman" w:hAnsi="Times New Roman" w:eastAsia="仿宋_GB2312" w:cs="宋体"/>
          <w:b/>
          <w:bCs/>
          <w:i w:val="0"/>
          <w:caps w:val="0"/>
          <w:color w:val="auto"/>
          <w:spacing w:val="0"/>
          <w:sz w:val="32"/>
          <w:szCs w:val="32"/>
          <w:shd w:val="clear"/>
          <w:lang w:val="en-US" w:eastAsia="zh-CN" w:bidi="ar"/>
        </w:rPr>
        <w:t>在推动改革落地见效上深化提升，</w:t>
      </w:r>
      <w:r>
        <w:rPr>
          <w:rFonts w:hint="eastAsia" w:ascii="Times New Roman" w:hAnsi="Times New Roman" w:eastAsia="仿宋_GB2312" w:cs="宋体"/>
          <w:i w:val="0"/>
          <w:caps w:val="0"/>
          <w:color w:val="auto"/>
          <w:spacing w:val="0"/>
          <w:sz w:val="32"/>
          <w:szCs w:val="32"/>
          <w:shd w:val="clear"/>
          <w:lang w:val="en-US" w:eastAsia="zh-CN" w:bidi="ar"/>
        </w:rPr>
        <w:t>着力当好新一轮国企改革排头兵先行者，力争今年底完成70%以上改革主体任务。</w:t>
      </w:r>
      <w:r>
        <w:rPr>
          <w:rFonts w:hint="eastAsia" w:ascii="Times New Roman" w:hAnsi="Times New Roman" w:eastAsia="仿宋_GB2312" w:cs="宋体"/>
          <w:b/>
          <w:bCs/>
          <w:i w:val="0"/>
          <w:caps w:val="0"/>
          <w:color w:val="auto"/>
          <w:spacing w:val="0"/>
          <w:sz w:val="32"/>
          <w:szCs w:val="32"/>
          <w:shd w:val="clear"/>
          <w:lang w:val="en-US" w:eastAsia="zh-CN" w:bidi="ar"/>
        </w:rPr>
        <w:t>在强化价值创造上深化提升，</w:t>
      </w:r>
      <w:r>
        <w:rPr>
          <w:rFonts w:hint="eastAsia" w:ascii="Times New Roman" w:hAnsi="Times New Roman" w:eastAsia="仿宋_GB2312" w:cs="宋体"/>
          <w:i w:val="0"/>
          <w:caps w:val="0"/>
          <w:color w:val="auto"/>
          <w:spacing w:val="0"/>
          <w:sz w:val="32"/>
          <w:szCs w:val="32"/>
          <w:shd w:val="clear"/>
          <w:lang w:val="en-US" w:eastAsia="zh-CN" w:bidi="ar"/>
        </w:rPr>
        <w:t>着力推动国有经济高质量发展，突出高质量的稳增长、价值创造导向、上市公司价值和金融服务实体质效，打造科技、产业、金融高水平循环样板。</w:t>
      </w:r>
      <w:r>
        <w:rPr>
          <w:rFonts w:hint="eastAsia" w:ascii="Times New Roman" w:hAnsi="Times New Roman" w:eastAsia="仿宋_GB2312" w:cs="宋体"/>
          <w:b/>
          <w:bCs/>
          <w:i w:val="0"/>
          <w:caps w:val="0"/>
          <w:color w:val="auto"/>
          <w:spacing w:val="0"/>
          <w:sz w:val="32"/>
          <w:szCs w:val="32"/>
          <w:shd w:val="clear"/>
          <w:lang w:val="en-US" w:eastAsia="zh-CN" w:bidi="ar"/>
        </w:rPr>
        <w:t>在加快创新驱动上深化提升，</w:t>
      </w:r>
      <w:r>
        <w:rPr>
          <w:rFonts w:hint="eastAsia" w:ascii="Times New Roman" w:hAnsi="Times New Roman" w:eastAsia="仿宋_GB2312" w:cs="宋体"/>
          <w:i w:val="0"/>
          <w:caps w:val="0"/>
          <w:color w:val="auto"/>
          <w:spacing w:val="0"/>
          <w:sz w:val="32"/>
          <w:szCs w:val="32"/>
          <w:shd w:val="clear"/>
          <w:lang w:val="en-US" w:eastAsia="zh-CN" w:bidi="ar"/>
        </w:rPr>
        <w:t>着力增强企业科技创新能力，加快原创技术攻关，完善创新机制，强化协同创新。</w:t>
      </w:r>
      <w:r>
        <w:rPr>
          <w:rFonts w:hint="eastAsia" w:ascii="Times New Roman" w:hAnsi="Times New Roman" w:eastAsia="仿宋_GB2312" w:cs="宋体"/>
          <w:b/>
          <w:bCs/>
          <w:i w:val="0"/>
          <w:caps w:val="0"/>
          <w:color w:val="auto"/>
          <w:spacing w:val="0"/>
          <w:sz w:val="32"/>
          <w:szCs w:val="32"/>
          <w:shd w:val="clear"/>
          <w:lang w:val="en-US" w:eastAsia="zh-CN" w:bidi="ar"/>
        </w:rPr>
        <w:t>在优化国资布局上深化提升，</w:t>
      </w:r>
      <w:r>
        <w:rPr>
          <w:rFonts w:hint="eastAsia" w:ascii="Times New Roman" w:hAnsi="Times New Roman" w:eastAsia="仿宋_GB2312" w:cs="宋体"/>
          <w:i w:val="0"/>
          <w:caps w:val="0"/>
          <w:color w:val="auto"/>
          <w:spacing w:val="0"/>
          <w:sz w:val="32"/>
          <w:szCs w:val="32"/>
          <w:shd w:val="clear"/>
          <w:lang w:val="en-US" w:eastAsia="zh-CN" w:bidi="ar"/>
        </w:rPr>
        <w:t>着力服务建设现代化产业体系，深化投资运营公司改革，大力发展新兴产业，推动传统产业高端化、智能化、绿色化、融合化发展。</w:t>
      </w:r>
      <w:r>
        <w:rPr>
          <w:rFonts w:hint="eastAsia" w:ascii="Times New Roman" w:hAnsi="Times New Roman" w:eastAsia="仿宋_GB2312" w:cs="宋体"/>
          <w:b/>
          <w:bCs/>
          <w:i w:val="0"/>
          <w:caps w:val="0"/>
          <w:color w:val="auto"/>
          <w:spacing w:val="0"/>
          <w:sz w:val="32"/>
          <w:szCs w:val="32"/>
          <w:shd w:val="clear"/>
          <w:lang w:val="en-US" w:eastAsia="zh-CN" w:bidi="ar"/>
        </w:rPr>
        <w:t>在优化国资监管上深化提升，</w:t>
      </w:r>
      <w:r>
        <w:rPr>
          <w:rFonts w:hint="eastAsia" w:ascii="Times New Roman" w:hAnsi="Times New Roman" w:eastAsia="仿宋_GB2312" w:cs="宋体"/>
          <w:i w:val="0"/>
          <w:caps w:val="0"/>
          <w:color w:val="auto"/>
          <w:spacing w:val="0"/>
          <w:sz w:val="32"/>
          <w:szCs w:val="32"/>
          <w:shd w:val="clear"/>
          <w:lang w:val="en-US" w:eastAsia="zh-CN" w:bidi="ar"/>
        </w:rPr>
        <w:t>着力当好国有企业发挥“三个作用”的组织者和推动者，加快推进监管专业化、体系化、法治化、高效化和精准化。</w:t>
      </w:r>
      <w:r>
        <w:rPr>
          <w:rFonts w:hint="eastAsia" w:ascii="Times New Roman" w:hAnsi="Times New Roman" w:eastAsia="仿宋_GB2312" w:cs="宋体"/>
          <w:b/>
          <w:bCs/>
          <w:i w:val="0"/>
          <w:caps w:val="0"/>
          <w:color w:val="auto"/>
          <w:spacing w:val="0"/>
          <w:sz w:val="32"/>
          <w:szCs w:val="32"/>
          <w:shd w:val="clear"/>
          <w:lang w:val="en-US" w:eastAsia="zh-CN" w:bidi="ar"/>
        </w:rPr>
        <w:t>在防范化解风险上深化提升，</w:t>
      </w:r>
      <w:r>
        <w:rPr>
          <w:rFonts w:hint="eastAsia" w:ascii="Times New Roman" w:hAnsi="Times New Roman" w:eastAsia="仿宋_GB2312" w:cs="宋体"/>
          <w:i w:val="0"/>
          <w:caps w:val="0"/>
          <w:color w:val="auto"/>
          <w:spacing w:val="0"/>
          <w:sz w:val="32"/>
          <w:szCs w:val="32"/>
          <w:shd w:val="clear"/>
          <w:lang w:val="en-US" w:eastAsia="zh-CN" w:bidi="ar"/>
        </w:rPr>
        <w:t>着力守牢不发生系统性风险的底线，建成全面风险预警2.0系统，强化重点领域动态监测、穿透管理，抓好存量风险化解处置。</w:t>
      </w:r>
      <w:r>
        <w:rPr>
          <w:rFonts w:hint="eastAsia" w:ascii="Times New Roman" w:hAnsi="Times New Roman" w:eastAsia="仿宋_GB2312" w:cs="宋体"/>
          <w:b/>
          <w:bCs/>
          <w:i w:val="0"/>
          <w:caps w:val="0"/>
          <w:color w:val="auto"/>
          <w:spacing w:val="0"/>
          <w:sz w:val="32"/>
          <w:szCs w:val="32"/>
          <w:shd w:val="clear"/>
          <w:lang w:val="en-US" w:eastAsia="zh-CN" w:bidi="ar"/>
        </w:rPr>
        <w:t>在加强党的建设上深化提升，</w:t>
      </w:r>
      <w:r>
        <w:rPr>
          <w:rFonts w:hint="eastAsia" w:ascii="Times New Roman" w:hAnsi="Times New Roman" w:eastAsia="仿宋_GB2312" w:cs="宋体"/>
          <w:i w:val="0"/>
          <w:caps w:val="0"/>
          <w:color w:val="auto"/>
          <w:spacing w:val="0"/>
          <w:sz w:val="32"/>
          <w:szCs w:val="32"/>
          <w:shd w:val="clear"/>
          <w:lang w:val="en-US" w:eastAsia="zh-CN" w:bidi="ar"/>
        </w:rPr>
        <w:t>着力增强党组织政治功能和组织功能，以高质量党建赋能高质量发展。</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2023年，本市地方国有企业实现营业收入3.65万亿元，同比增长0.8%；利润总额2629.87亿元，同比增长3.4%；归母净利润1685.16亿元，同比基本持平。截至2023年底，资产总额29.07万亿元，同比增长4.2%。</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会上，久事集团、上海交易集团、浦发银行和上汽集团负责同志分别围绕落实国企改革深化提升行动、发挥国有企业“三个作用”、加快建设世界一流企业等方面作交流发言。（上海市国资委）</w:t>
      </w:r>
    </w:p>
    <w:p>
      <w:pPr>
        <w:pStyle w:val="3"/>
        <w:spacing w:line="600" w:lineRule="exact"/>
        <w:rPr>
          <w:rFonts w:hint="eastAsia"/>
          <w:lang w:val="en-US" w:eastAsia="zh-CN"/>
        </w:rPr>
      </w:pPr>
    </w:p>
    <w:p>
      <w:pPr>
        <w:widowControl w:val="0"/>
        <w:numPr>
          <w:ilvl w:val="0"/>
          <w:numId w:val="1"/>
        </w:numPr>
        <w:spacing w:after="156" w:afterLines="50" w:line="600" w:lineRule="exact"/>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金融工作</w:t>
      </w:r>
    </w:p>
    <w:p>
      <w:pPr>
        <w:widowControl w:val="0"/>
        <w:numPr>
          <w:ilvl w:val="255"/>
          <w:numId w:val="0"/>
        </w:numPr>
        <w:spacing w:line="600" w:lineRule="exact"/>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金融国资参与“投早投小投科技”</w:t>
      </w:r>
    </w:p>
    <w:p>
      <w:pPr>
        <w:widowControl w:val="0"/>
        <w:numPr>
          <w:ilvl w:val="255"/>
          <w:numId w:val="0"/>
        </w:numPr>
        <w:spacing w:line="600" w:lineRule="exact"/>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上海国际集团发起设立早期硬科技基金</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科创金融领域再获国资新助力。近日，上海国际集团与浦东创投集团、张江高科、上海科创基金签约，发起设立早期硬科技基金。这是上海国资体系内，第一支市区联动、专注于“投早投小投科技”的直投基金，目标规模10亿元，首期规模约2亿元。</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上海科创中心建设迎来十周年之际，早期硬科技基金的设立，就是要进一步强化市区国资和各类社会资本的优势互补与战略协同，共建科创金融新生态，共享产融合作新资源，为上海建设具有全球影响力的科技创新中心注入更加强劲的动力。</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国际集团拥有上海国资系统最大的产业基金板块，基金管理规模累计超过1400亿元。上海国际集团发起设立的上海科创基金，是全国首家以服务科创中心建设为主要任务的股权投资基金，以母基金形式参与市场投资，目前基金管理规模已超过140亿元。截至2023年末，上海科创基金投资项目达965个项次，被投资的科创企业平均估值增长94%。</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此番新设的直投基金，正是由上海科创基金管理。从母基金到直投基金，上海科创基金从投资“后端”走向“前端”，一个战略性思路正在凸显——离早小科创企业更近一点。上海国资开启早期直投基金尝试，就是要更加深入一线，更好发挥上海科创基金在早小硬科技领域积累的专业优势，强化全阶段全链条科创金融服务能力，为早小科创企业尽可能多地提供长期资本支持，带动各类社会资本进入早期投资领域，打通“科技—产业—金融”良性循环。（上海国际集团）</w:t>
      </w:r>
    </w:p>
    <w:p>
      <w:pPr>
        <w:pStyle w:val="2"/>
        <w:spacing w:line="600" w:lineRule="exact"/>
        <w:rPr>
          <w:rFonts w:hint="eastAsia"/>
          <w:lang w:val="en-US" w:eastAsia="zh-CN"/>
        </w:rPr>
      </w:pPr>
    </w:p>
    <w:p>
      <w:pPr>
        <w:widowControl w:val="0"/>
        <w:numPr>
          <w:ilvl w:val="0"/>
          <w:numId w:val="1"/>
        </w:numPr>
        <w:spacing w:after="156" w:afterLines="50" w:line="600" w:lineRule="exact"/>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spacing w:line="600" w:lineRule="exact"/>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长三角绿洲智谷在“世界级料子”上</w:t>
      </w:r>
    </w:p>
    <w:p>
      <w:pPr>
        <w:widowControl w:val="0"/>
        <w:numPr>
          <w:ilvl w:val="255"/>
          <w:numId w:val="0"/>
        </w:numPr>
        <w:spacing w:line="600" w:lineRule="exact"/>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“种”出一片“科创森林”</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长三角生态绿色一体化发展示范区中的一个特色标杆园区，长三角绿洲智谷起势于长三角一体化发展的东风，同时，凭借园区建设运营的实践探索，深度融入并服务国家发展战略。在这里，行业龙头企业不断汇聚，初创企业蓬勃发展，具有协同效应的产业链、供应链和创新链加速形成，一片“科创森林”，正不断积蓄成长的力量，展现出勃勃生机。</w:t>
      </w:r>
    </w:p>
    <w:p>
      <w:pPr>
        <w:widowControl/>
        <w:numPr>
          <w:ilvl w:val="-1"/>
          <w:numId w:val="0"/>
        </w:numPr>
        <w:spacing w:line="600" w:lineRule="exact"/>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乘势一体化 先行示范汇聚势能</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科创”是长三角绿洲智谷的鲜明特色。紧扣上海“3+6”新型产业体系以及新赛道和未来产业，园区重点打造信息技术及数字经济、生命健康、新材料、绿色产业等细分产业集聚群。作为长三角投资公司在长三角一体化示范区谋划布局的首个特色标杆示范园区，长三角绿洲智谷在努力为企业营造良好办公环境的同时，将充分发挥服务国家战略的平台功能优势，为企业创新发展提供更多服务、搭建更大平台。</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自2021年下半年正式投入运营以来，长三角绿洲智谷吸引了公牛集团、凯金新能源、欣巴自动化、仙乐健康、东方科脉、国泰君安、科顺新材料等世界500强、上市公司的研发中心或区域总部相继入驻，加速了园区产业集聚和势能辐射，也助推了区域经济发展。园区现累计引入注册企业231家，落地实体入驻企业66家，累计完成税收贡献超7亿元。长三角赵巷公司连续5年获得“青浦区优秀平台企业”荣誉称号。</w:t>
      </w:r>
    </w:p>
    <w:p>
      <w:pPr>
        <w:widowControl/>
        <w:numPr>
          <w:ilvl w:val="-1"/>
          <w:numId w:val="0"/>
        </w:numPr>
        <w:spacing w:line="600" w:lineRule="exact"/>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精绘实景图 厚植沃土孕育创新</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未来西岑科创中心的示范窗口，长三角绿洲智谷始终坚持绿色发展理念，致力于打造一体化示范区生态绿色发展园区样板。以蓝绿为底板，利用天然水系优势，园区构筑起了“以水为邻、移步异景、宜居宜业”的高品质空间。</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长三角一体化示范区“一厅三片”重要组成部分，西岑科创中心是“长三角数字干线”的关键节点。该项目东片区为华为青浦研发中心，西片区为西岑科创园区，总投资规模约为500亿元，旨在构建长三角最具活力的创新极核，打造世界级的科创小镇。</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与此同时，长三角绿洲智谷还将党建链嵌入产业链、服务链，联合发起“长三角数字干线赵巷经济带党建联盟”，并成立长三角绿洲智谷园区党总支，通过党组织链接多方资源，搭建党群服务“连心桥”，围绕数字经济产业，促进赵巷镇域内企业产业链上下游资源整合。</w:t>
      </w:r>
    </w:p>
    <w:p>
      <w:pPr>
        <w:widowControl/>
        <w:numPr>
          <w:ilvl w:val="-1"/>
          <w:numId w:val="0"/>
        </w:numPr>
        <w:spacing w:line="600" w:lineRule="exact"/>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助推高质量 “科创森林”更显生机</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园区特别规划新增1500余平方米的“长三角国际科创会客厅”，为来往长三角的创业团队、科技型企业成员提供灵活的、有温度的办公场景，满足创业者跨区域灵活办公、行业交流等各项需求。</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上海出台《高质量孵化器培育实施方案》，意在培育更多能够站在前沿、引领浪潮的一流企业，形成创新“核爆点”。从“长三角国际科创会客厅”的底楼拾级而上，一批科创企业正在这里成长</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30家科创企业已在此进入孵化阶段。</w:t>
      </w:r>
    </w:p>
    <w:p>
      <w:pPr>
        <w:widowControl/>
        <w:numPr>
          <w:ilvl w:val="-1"/>
          <w:numId w:val="0"/>
        </w:numPr>
        <w:spacing w:line="600" w:lineRule="exact"/>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新时代新征程，上海正在“加快向具有全球影响力的科技创新中心迈进”。当前，一个以“数字+科创+一体化”为核心的“数创长三角”双创孵化基地已在长三角绿洲智谷初具雏形，园区正以“开放创新，生态赋能”的科创发展理念，加快推动各类科技创新资源和要素整合，更好服务上海国际科创中心建设。</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长三角投资公司</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spacing w:line="600" w:lineRule="exact"/>
        <w:rPr>
          <w:rFonts w:hint="eastAsia"/>
          <w:lang w:val="en-US" w:eastAsia="zh-CN"/>
        </w:rPr>
      </w:pPr>
    </w:p>
    <w:p>
      <w:pPr>
        <w:widowControl w:val="0"/>
        <w:numPr>
          <w:ilvl w:val="255"/>
          <w:numId w:val="0"/>
        </w:numPr>
        <w:spacing w:line="600" w:lineRule="exact"/>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机场集团以最优服务保障旅客春运平安便捷温馨出行</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预计今年春运期间，上海浦东、虹桥两场航班量将达到8.6万架次（其中，浦东机场5.6万架次、虹桥机场3万架次），同比增长29.8%；客流量1293万人次（其中，浦东机场773万人次、虹桥机场520万人次），同比增长57.6%，基本恢复至2019年同期水平。机场集团多措并举，以最优服务保障旅客春运平安便捷温馨出行。</w:t>
      </w:r>
    </w:p>
    <w:p>
      <w:pPr>
        <w:widowControl/>
        <w:numPr>
          <w:ilvl w:val="-1"/>
          <w:numId w:val="0"/>
        </w:numPr>
        <w:spacing w:line="600" w:lineRule="exact"/>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国风年味，营造浓厚节日氛围</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机场在航站楼公共区域营造浓厚的春节氛围。浦东、虹桥两场分别以“瑞龙迎春”“福龙迎春”为主题，在5座航站楼设置了多处主题景观打卡点和艺术装置，用中国结、祥云、福字等节日元素妆扮两场航站楼。两场问询柜台服务员换上旗袍等国风服饰，邀请旅客写祝福、送祝愿，浦东机场联合上海迪士尼乐园为旅客推出疯狂动物城主题元素捷运列车。春节前夕，两场将分别举办“绕龙灯”“川剧变脸”“醒狮巡游”等有浓郁中国文化特色的旅客互动活动。</w:t>
      </w:r>
    </w:p>
    <w:p>
      <w:pPr>
        <w:widowControl/>
        <w:numPr>
          <w:ilvl w:val="-1"/>
          <w:numId w:val="0"/>
        </w:numPr>
        <w:spacing w:line="600" w:lineRule="exact"/>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更趋便利，提升境外人士支付体验</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机场作为上海市商委“入境人士境内支付服务示范商圈”，持续优化境内移动支付、外卡支付、外币兑换等服务功能，两场370家商户门店均支持外币银行卡、微信、支付宝支付等多种交易方式，并设有18处外币兑换点、7处银行金融网点和16个银行存取款机。为帮助境外旅客更快熟悉智能支付，两场分别设立入境支付体验服务台，提供移动支付绑外卡的指引咨询。</w:t>
      </w:r>
    </w:p>
    <w:p>
      <w:pPr>
        <w:widowControl/>
        <w:numPr>
          <w:ilvl w:val="-1"/>
          <w:numId w:val="0"/>
        </w:numPr>
        <w:spacing w:line="600" w:lineRule="exact"/>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首乘服务，温暖旅客春运回家路</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针对今年春运探亲流、学生流、旅游流为主，补偿式探亲流、老弱病残孕等特殊旅客有所增加等特点，两场持续优化并推出多项真情服务举措。浦东机场优化“申情初行”“申情相伴”服务产品，为首乘旅客和无陪老人分别提供绿色和紫色个性化“服务礼包”，虹桥机场“首乘手环”实现了问询柜台和航司柜台全覆盖。两场利用大数据算法持续优化提升航班靠桥率和廊桥周转率，让航班到港后尽量减少滑行时间接靠廊桥，提升旅客乘机出行体验。</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机场集团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spacing w:line="600" w:lineRule="exact"/>
        <w:rPr>
          <w:rFonts w:hint="eastAsia"/>
          <w:lang w:val="en-US" w:eastAsia="zh-CN"/>
        </w:rPr>
      </w:pPr>
    </w:p>
    <w:p>
      <w:pPr>
        <w:widowControl w:val="0"/>
        <w:numPr>
          <w:ilvl w:val="255"/>
          <w:numId w:val="0"/>
        </w:numPr>
        <w:spacing w:line="600" w:lineRule="exact"/>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“数字江海”数字底座建设上线</w:t>
      </w:r>
    </w:p>
    <w:p>
      <w:pPr>
        <w:widowControl w:val="0"/>
        <w:numPr>
          <w:ilvl w:val="255"/>
          <w:numId w:val="0"/>
        </w:numPr>
        <w:spacing w:line="600" w:lineRule="exact"/>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临港集团打造数字化国际产业城区</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日前，由临港集团负责开发的“数字江海”数字孪生城市系统的核心组成部分——“数字江海数字底座”完成一期建设上线，预计今年春夏伴随“数字江海”产业城区一期物业的交付正式投产使用，将以数字孪生、大数据、云计算、人工智能、物联网等为核心技术，实现园区数字化与产业数字化的结合，构建赋能产业发展的数字化平台，推动特色产业集群聚集，赋能奉贤区既有优势产业，将数字化落实到园区的开发运营实践中。</w:t>
      </w:r>
    </w:p>
    <w:p>
      <w:pPr>
        <w:widowControl/>
        <w:numPr>
          <w:ilvl w:val="-1"/>
          <w:numId w:val="0"/>
        </w:numPr>
        <w:spacing w:line="600" w:lineRule="exact"/>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提升园区数字化管理水平，打造更优的产城融合与营商环境</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数字江海“云端之城”建设就是指除了实体园区以外，在网络上还有一座虚拟的园区。在此平台上，所有相关设备的能源使用、人员物业、商业生活消费，企业生产数据等信息等都会汇聚成总的集合，运营管理者可以用各种数字化的衡量指标实现可视化分析、协同和决策制定。而“数字底座”就是串联起这一座数字之城的智慧“大脑”。</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数字底座”主要由物联中台、数据中台、业务中台、AI中台四大中台组成，具有丰富的数据资源库和强大的数据治理能力，一方面将通过部署边缘算力中心打造产业赋能平台；另一方面则通过数字城市孪生系统，对园区全域的末端设备都进行监测联通，并通过搭建智慧安防、智慧通行、智慧能效、智慧工地、能碳双控、城市应急管理等多维度智慧场景模型，将数字化管理嵌入园区使用的每一个场景，实现城市和产业数据的可视、可控，全面提升园区的建设和管理水平。</w:t>
      </w:r>
    </w:p>
    <w:p>
      <w:pPr>
        <w:widowControl/>
        <w:numPr>
          <w:ilvl w:val="-1"/>
          <w:numId w:val="0"/>
        </w:numPr>
        <w:spacing w:line="600" w:lineRule="exact"/>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部署边缘计算中心，以企业赋能带动产业扶持</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以边缘算力中心为核心的产业赋能平台由“数字江海”公司牵头，阿里云、中国信息通信研究院等多家单位联合打造，整合了公共基础资源、公共软件服务、公共算力服务等能力，构建为数字经济、生物医药产业赋能的高性能公共算力网络，为入驻园区内的企业提供针对性的科技创新支持和软件运营服务。</w:t>
      </w:r>
    </w:p>
    <w:p>
      <w:pPr>
        <w:widowControl/>
        <w:numPr>
          <w:ilvl w:val="-1"/>
          <w:numId w:val="0"/>
        </w:numPr>
        <w:spacing w:line="600" w:lineRule="exact"/>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算力”是赋能企业数字化创新、促进数字经济产业高质量集聚发展的关键要素。作为推动数字经济发展的关键生产力，算力的构建能够为传统产业发展与科创提供数字技术、基础设施和解决方案，进而增加产出，提升效率。在</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数字江海</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算力资源将是开放共享的，像水和电一样成为园区的基础资源。数据中台能够提供强大的多源时空数据接入、存储计算、数据抽取编排、可视化分析等核心功能，将为产业园区内需要此类算力技术服务但本不具备相应能力的企业提供私有化算力体系以及全生态的技术基础指导服务，以此降低科研成本，赋能企业创新发展。在功能配置上，还会根据未来的具体使用情况做弹性调整，以更好匹配企业的科研需求。</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临港集团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2D23A0"/>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1395D"/>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76372A"/>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46259"/>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7</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2023-01-04T01:47:00Z</dcterms:created>
  <dc:creator>user</dc:creator>
  <cp:lastModifiedBy>WPS_1622794468</cp:lastModifiedBy>
  <cp:lastPrinted>2024-01-23T17:20:00Z</cp:lastPrinted>
  <dcterms:modified xsi:type="dcterms:W3CDTF">2024-02-05T01:35:36Z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3CA9B5578C733804A772BB657C958577</vt:lpwstr>
  </property>
</Properties>
</file>