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16</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6</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市国资委举办第四期经营管理人才研修班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日前，市国资委第四期经营管理人才</w:t>
      </w:r>
      <w:bookmarkStart w:id="0" w:name="_GoBack"/>
      <w:bookmarkEnd w:id="0"/>
      <w:r>
        <w:rPr>
          <w:rFonts w:hint="eastAsia" w:ascii="Times New Roman" w:hAnsi="Times New Roman" w:eastAsia="仿宋_GB2312" w:cs="Times New Roman"/>
          <w:sz w:val="32"/>
          <w:szCs w:val="32"/>
          <w:lang w:val="en-US" w:eastAsia="zh-CN"/>
        </w:rPr>
        <w:t>研修班在上海交通大学安泰经济与管理学院开班。市国资委党委副书记、一级巡视员程巍出席并作开班动员，安泰经济与管理学院党委书记姜文宁致辞。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程巍指出，举办国资系统经营管理人才研修班，是高质量完成国企改革深化提升行动、加强国资系统干部人才队伍建设的重要举措。</w:t>
      </w:r>
      <w:r>
        <w:rPr>
          <w:rStyle w:val="7"/>
          <w:rFonts w:hint="eastAsia" w:ascii="楷体_GB2312" w:hAnsi="楷体_GB2312" w:eastAsia="楷体_GB2312" w:cs="楷体_GB2312"/>
          <w:sz w:val="32"/>
          <w:szCs w:val="32"/>
        </w:rPr>
        <w:t>要提高政治站位，切实增强服务中心大局的责任感和使命感。</w:t>
      </w:r>
      <w:r>
        <w:rPr>
          <w:rFonts w:hint="eastAsia" w:ascii="仿宋_GB2312" w:hAnsi="仿宋_GB2312" w:eastAsia="仿宋_GB2312" w:cs="仿宋_GB2312"/>
          <w:sz w:val="32"/>
          <w:szCs w:val="32"/>
        </w:rPr>
        <w:t>聚焦上海建设“五个中心”重要使命，胸怀“国之大者”，坚持“四个放在”，围绕企业改革发展实际，培育一批具备国际视野、战略思维的经营管理者。</w:t>
      </w:r>
      <w:r>
        <w:rPr>
          <w:rStyle w:val="7"/>
          <w:rFonts w:hint="eastAsia" w:ascii="楷体_GB2312" w:hAnsi="楷体_GB2312" w:eastAsia="楷体_GB2312" w:cs="楷体_GB2312"/>
          <w:sz w:val="32"/>
          <w:szCs w:val="32"/>
        </w:rPr>
        <w:t>要聚焦关键重点，准确把握新时代干部能力提升的方向路径。</w:t>
      </w:r>
      <w:r>
        <w:rPr>
          <w:rFonts w:hint="eastAsia" w:ascii="仿宋_GB2312" w:hAnsi="仿宋_GB2312" w:eastAsia="仿宋_GB2312" w:cs="仿宋_GB2312"/>
          <w:sz w:val="32"/>
          <w:szCs w:val="32"/>
        </w:rPr>
        <w:t>紧紧围绕国资国企改革发展中心任务，努力提升政治能力，强化责任担当，锤炼专业本领，对标建设世界一流企业要求，不断提高攻坚克难、锐意进取的信心与能力。</w:t>
      </w:r>
      <w:r>
        <w:rPr>
          <w:rStyle w:val="7"/>
          <w:rFonts w:hint="eastAsia" w:ascii="楷体_GB2312" w:hAnsi="楷体_GB2312" w:eastAsia="楷体_GB2312" w:cs="楷体_GB2312"/>
          <w:sz w:val="32"/>
          <w:szCs w:val="32"/>
        </w:rPr>
        <w:t>要珍惜学习机会，切实维护研修班的良好学风。</w:t>
      </w:r>
      <w:r>
        <w:rPr>
          <w:rFonts w:hint="eastAsia" w:ascii="仿宋_GB2312" w:hAnsi="仿宋_GB2312" w:eastAsia="仿宋_GB2312" w:cs="仿宋_GB2312"/>
          <w:sz w:val="32"/>
          <w:szCs w:val="32"/>
        </w:rPr>
        <w:t>静心学习思考，坚持学以致用，严守纪律规矩，确保学有所获、学有所成，在国资国企改革发展的新征程上展现新作为、创造新业绩。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本期研修班的</w:t>
      </w:r>
      <w:r>
        <w:rPr>
          <w:rFonts w:hint="default" w:ascii="Times New Roman" w:hAnsi="Times New Roman" w:eastAsia="仿宋_GB2312" w:cs="Times New Roman"/>
          <w:sz w:val="32"/>
          <w:szCs w:val="32"/>
        </w:rPr>
        <w:t>65</w:t>
      </w:r>
      <w:r>
        <w:rPr>
          <w:rFonts w:hint="eastAsia" w:ascii="仿宋_GB2312" w:hAnsi="仿宋_GB2312" w:eastAsia="仿宋_GB2312" w:cs="仿宋_GB2312"/>
          <w:sz w:val="32"/>
          <w:szCs w:val="32"/>
        </w:rPr>
        <w:t>名学员来自市国资委直接监管企业、委托监管企业和区属企业。此次培训课程将围绕现代企业管理、资本运作、产融结合、科创赋能等内容，着力培养兼具政策把握力、科技创新整合力、国际竞争驾驭力的复合型经营管理人才，为国资国企改革提供智力支撑。</w:t>
      </w:r>
      <w:r>
        <w:rPr>
          <w:rFonts w:hint="eastAsia" w:ascii="仿宋_GB2312" w:hAnsi="仿宋_GB2312" w:eastAsia="仿宋_GB2312" w:cs="仿宋_GB2312"/>
          <w:sz w:val="32"/>
          <w:szCs w:val="32"/>
          <w:lang w:eastAsia="zh-CN"/>
        </w:rPr>
        <w:t>（上海市国资委）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上海农商银行坚持战略引领</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打造可持续价值增长新范式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农商银行凭借优异的综合表现，入选沪深300指数与上证180指数两大资本市场核心指数的样本股，实现目前符合条件的可纳入主流指数的全覆盖。上市仅三年多便成功入选两大核心指数，彰显了上海农商银行稳健发展的战略成效，更反映了其在深化国企改革与重视市值管理等方面的综合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年来，上海农商银行保持战略定力，坚持“长期主义”理念，走出了一条内涵式增长之路，整体业务经营保持稳健、规模实力稳步增长、盈利水平有所提升，资产质量保持稳定，在中国银行业协会发布的2024年度商业银行稳健发展能力“陀螺”评价中连续四年蝉联城区农商银行综合评价第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立足长效，融入公司治理顶层设计。</w:t>
      </w:r>
      <w:r>
        <w:rPr>
          <w:rFonts w:hint="eastAsia" w:ascii="Times New Roman" w:hAnsi="Times New Roman" w:eastAsia="仿宋_GB2312" w:cs="Times New Roman"/>
          <w:sz w:val="32"/>
          <w:szCs w:val="32"/>
          <w:lang w:val="en-US" w:eastAsia="zh-CN"/>
        </w:rPr>
        <w:t>上海农商银行由公司董事会决策市值管理制度、股东回报规划等重大事项，将市值管理纳入对高管层的战略考核和激励体系，单独列示资本市场价值传递考核目标，每年通过职业经理人薪酬激励计划推动高管层在二级市场上增持公司股票；主要股东3次增持发挥市值稳定作用，董监高多次现场参与年度业绩说明会、投资者开放日等市场交流活动；战略中明确“ESG管理示范银行”的目标，将提升ESG表现与市值管理有机融合，完成ESG管理顶层设计，制定ESG管理全面提升计划，提升长期投资价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贯穿战略</w:t>
      </w:r>
      <w:r>
        <w:rPr>
          <w:rFonts w:hint="default" w:ascii="Times New Roman" w:hAnsi="Times New Roman" w:eastAsia="楷体_GB2312" w:cs="Times New Roman"/>
          <w:b/>
          <w:bCs/>
          <w:sz w:val="32"/>
          <w:szCs w:val="32"/>
          <w:lang w:val="en-US" w:eastAsia="zh-CN"/>
        </w:rPr>
        <w:t>OKR</w:t>
      </w:r>
      <w:r>
        <w:rPr>
          <w:rFonts w:hint="eastAsia" w:ascii="楷体_GB2312" w:hAnsi="楷体_GB2312" w:eastAsia="楷体_GB2312" w:cs="楷体_GB2312"/>
          <w:b/>
          <w:bCs/>
          <w:sz w:val="32"/>
          <w:szCs w:val="32"/>
          <w:lang w:val="en-US" w:eastAsia="zh-CN"/>
        </w:rPr>
        <w:t>全流程管理，打通价值创造路径。</w:t>
      </w:r>
      <w:r>
        <w:rPr>
          <w:rFonts w:hint="eastAsia" w:ascii="Times New Roman" w:hAnsi="Times New Roman" w:eastAsia="仿宋_GB2312" w:cs="Times New Roman"/>
          <w:sz w:val="32"/>
          <w:szCs w:val="32"/>
          <w:lang w:val="en-US" w:eastAsia="zh-CN"/>
        </w:rPr>
        <w:t>上海农商银行发挥战略引领作用，构建战略系统、制定战略目标，将市值管理贯穿于战略谋划、制定、宣导、评估的全流程之中，董事会定期听取市值管理情况报告。战略谋划时，邀请行业分析师在专题党委会上交流市场关注情况，倾听市场声音；战略制定时，直接将市值管理目标写入公司战略，创新运用OKR管理法开展战略管理，市值管理融入各层级战略OKR任务进行责任传递；战略宣导时，建立战略价值“宣讲团”对外传递价值；战略评估时，每半年董事会战略评估单列“资本市场关注”篇章，专题分析作为审视战略执行成效的重要因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重视投资者回报体验，提升长期获得感。</w:t>
      </w:r>
      <w:r>
        <w:rPr>
          <w:rFonts w:hint="eastAsia" w:ascii="Times New Roman" w:hAnsi="Times New Roman" w:eastAsia="仿宋_GB2312" w:cs="Times New Roman"/>
          <w:sz w:val="32"/>
          <w:szCs w:val="32"/>
          <w:lang w:val="en-US" w:eastAsia="zh-CN"/>
        </w:rPr>
        <w:t>上海农商银行制定《2024-2026年股东回报规划》《2024年度“提质增效重回报”专项行动方案》，上市以来分红率始终保持在30%以上，已累计分红165.20亿元，为IPO募集资金总额的1.92倍，在行业内率先探索实施中期分红，并在2024年度将分红率提升至33.91%，较2023年提升3.81个百分点，成功纳入中证红利等多只红利指数，红利价值逐渐凸显。上海农商银行今年还将明确核心一级资本充足率的合意水平，以此作为分红政策的风向标，在分红策略上努力做到稳中求进。与此同时，上海农商银行高度重视投资者交流，通过郊区专题投资者开放日、海外投资者专场交流、个人投资者走进上市公司、ESG投资者专题调研等多种形式的活动，加深与投资者的联系，强化公司投资价值传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未来，上海农商银行将继续以公司的可持续高质量发展为基石，强化公司投资价值传递，持续扩大资本市场品牌影响力，积极吸引耐心资本，推动公司价值与市场估值实现稳步、长期的增长。（上海农商银行）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用实践推动绿色转型发展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上海国企共赴上海国际碳中和博览会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近日，2025年第三届上海国际碳中和技术、产品与成果博览会举办。上汽集团、华谊集团、东方国际、中国太保、浦发银行及上海农商银行等上海国企集中展示了近年来推动绿色转型发展的丰硕成果。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上汽集团</w:t>
      </w:r>
      <w:r>
        <w:rPr>
          <w:rFonts w:hint="eastAsia" w:ascii="Times New Roman" w:hAnsi="Times New Roman" w:eastAsia="仿宋_GB2312" w:cs="Times New Roman"/>
          <w:sz w:val="32"/>
          <w:szCs w:val="32"/>
          <w:lang w:val="en-US" w:eastAsia="zh-CN"/>
        </w:rPr>
        <w:t>作为中国领先的汽车制造商，积极响应国家“碳达峰、碳中和”战略部署，制定了明确的应对气候变化目标，并逐步将其融入集团长期发展规划之中。展会中，上汽集团现场展示了“瞬感天幕智能轿车”全新智己L6、“实力续航国民家轿”荣威D6、“全球首款敞篷电跑”MG Cyberster、“纯电智慧轻客”上汽大通MAXUS大拿V1、“C+级性能豪华旗舰”上汽奥迪 A7L、“全新大型新能源MPV”别克GL8陆尚、“智能时代中级轿车”五菱星光2025款等多款节能环保车型，积极展现企业“低碳硬实力”。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华谊集团</w:t>
      </w:r>
      <w:r>
        <w:rPr>
          <w:rFonts w:hint="eastAsia" w:ascii="Times New Roman" w:hAnsi="Times New Roman" w:eastAsia="仿宋_GB2312" w:cs="Times New Roman"/>
          <w:sz w:val="32"/>
          <w:szCs w:val="32"/>
          <w:lang w:val="en-US" w:eastAsia="zh-CN"/>
        </w:rPr>
        <w:t>全方位展示低碳减碳技术、工艺、产品等方面的创新成果，展现了在能源清洁化、运营高效化、原料低碳化方面的应用。其中，“绿色能源”“绿色工艺”“绿色技术”及“绿色服务”四大板块展示了华谊集团合成气互供、数字化节能降碳、甲烷-二氧化碳干重整技术、10万吨绿色甲醇项目、光伏屋顶布局、绿藻固碳技术等绿色转型中的应用成果。“绿色出行”和“绿色产品”两大板块则展示了双钱、回力全新EV轮胎、玻纤增强聚环烯烃树脂材质汽车配件、隔热反射涂料、光伏板相关材料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东方国际</w:t>
      </w:r>
      <w:r>
        <w:rPr>
          <w:rFonts w:hint="eastAsia" w:ascii="Times New Roman" w:hAnsi="Times New Roman" w:eastAsia="仿宋_GB2312" w:cs="Times New Roman"/>
          <w:sz w:val="32"/>
          <w:szCs w:val="32"/>
          <w:lang w:val="en-US" w:eastAsia="zh-CN"/>
        </w:rPr>
        <w:t>以“东方智慧 碳启未来”为主题亮相此次博览会，从绿色技术、绿色时尚、绿色服务、绿色生活四大方面展示了在绿色低碳领域的创新成果与前沿理念。集团下属纺研院与中国银行、绿色技术银行分别签订绿色金融与绿色技术合作协议，与</w:t>
      </w:r>
      <w:r>
        <w:rPr>
          <w:rFonts w:hint="eastAsia" w:ascii="Times New Roman" w:hAnsi="Times New Roman" w:eastAsia="仿宋_GB2312" w:cs="Times New Roman"/>
          <w:sz w:val="32"/>
          <w:szCs w:val="32"/>
        </w:rPr>
        <w:t>中国产业用纺织品行业协会</w:t>
      </w:r>
      <w:r>
        <w:rPr>
          <w:rFonts w:hint="eastAsia" w:ascii="Times New Roman" w:hAnsi="Times New Roman" w:eastAsia="仿宋_GB2312" w:cs="Times New Roman"/>
          <w:sz w:val="32"/>
          <w:szCs w:val="32"/>
          <w:lang w:val="en-US" w:eastAsia="zh-CN"/>
        </w:rPr>
        <w:t>、东方国创签订产业用纺织品双碳战略合作意向书，下属申达股份、纺研院与市循环经济协会、上海纺织协会、上海市纺织工程学会签订纺织行业绿色提质发展战略合作协议。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中国太保</w:t>
      </w:r>
      <w:r>
        <w:rPr>
          <w:rFonts w:hint="eastAsia" w:ascii="Times New Roman" w:hAnsi="Times New Roman" w:eastAsia="仿宋_GB2312" w:cs="Times New Roman"/>
          <w:sz w:val="32"/>
          <w:szCs w:val="32"/>
          <w:lang w:val="en-US" w:eastAsia="zh-CN"/>
        </w:rPr>
        <w:t>围绕“以可持续发展为目标，做强绿色金融”主题，展示了近年来践行“双碳”国家战略、推动绿色转型发展的丰硕成果。落地全国首单航运脱碳保险，支持航运业绿色转型；创新红树林CCER项目保险保障模式，助力生态系统保护；创新国家级展会“碳中和”服务模式，打造绿色展会行业标杆；探索碳普惠平台，在保险业推出首个对客户低碳减排行为进行测算和激励的碳普惠平台，搭建具有保险特色的低碳场景；中国太保产险上海分公司自主研发的“纯电动乘用车碳减排方法学”成为上海市首批碳普惠方法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浦发银行</w:t>
      </w:r>
      <w:r>
        <w:rPr>
          <w:rFonts w:hint="eastAsia" w:ascii="Times New Roman" w:hAnsi="Times New Roman" w:eastAsia="仿宋_GB2312" w:cs="Times New Roman"/>
          <w:sz w:val="32"/>
          <w:szCs w:val="32"/>
          <w:lang w:val="en-US" w:eastAsia="zh-CN"/>
        </w:rPr>
        <w:t>将绿色低碳要求融入顶层设计，构建集“绿色金融、转型金融、碳金融”三大产品支柱的数智化运营服务平台，加强金融创新和绿色金融生态圈建设。在展会中发布了《绿色工厂绿色金融综合服务方案》，直击绿色工厂“能源低碳化、资源高效化、生产洁净化、产品绿色化、用地集约化”绿色低碳转型金融需求，通过服务两类客户，聚焦五个场景、运用四类产品，提供四大保障措施，形成六大服务特色，打造“客户+场景+产品+保障+特色”五位一体服务模式，力求提供覆盖全生命周期、全产业链条的精准化、定制化金融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上海农商银行</w:t>
      </w:r>
      <w:r>
        <w:rPr>
          <w:rFonts w:hint="eastAsia" w:ascii="Times New Roman" w:hAnsi="Times New Roman" w:eastAsia="仿宋_GB2312" w:cs="Times New Roman"/>
          <w:sz w:val="32"/>
          <w:szCs w:val="32"/>
          <w:lang w:val="en-US" w:eastAsia="zh-CN"/>
        </w:rPr>
        <w:t>以“绿金焕新程，碳循新未来”为主题参展，展示近年来绿色金融发展成果。在展会现场发布了绿色金融品牌“绿鑫同舟”，旨在打造集绿色金融特色服务、绿色行业金融服务、绿色债券、绿色租赁于一体的绿色金融服务平台，培育绿色金融差异化竞争优势，擦亮绿色发展底色；发布2024年环境信息披露报告，并与8家企业签署绿色金融战略合作协议，未来将在绿色能源、绿色制造、转型金融、绿色租赁等领域提供绿色金融专项支持。（上汽集团、华谊集团、东方国际、中国太保、浦发银行、上海农商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促进国内国际双循环</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上海在埃塞俄比亚、墨西哥设立海外货站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在慕尼黑国际物流博览会上，机场集团旗下浦东机场货运站有限公司（PACTL）先后与埃塞俄比亚航空集团、墨西哥汉莎货运物流公司签署战略合作协议，分别合作设立PACTL亚的斯亚贝巴机场和PACTL墨西哥城国际机场海外货站，并在业务延伸、市场开发、技术交流、物流提效、品牌推广等方面加强合作，为促进国内国际双循环提供更便捷物流服务，助力上海国际航空物流枢纽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机场在航空物流领域深耕国际化运营策略，通过深化与国内外航司交流合作，持续拓展上海国际航空物流枢纽网络在非洲和美洲的覆盖面。埃塞俄比亚亚的斯亚贝巴机场海外货站仓储面积约4万平方米，货物处理能力预计在60万吨/年以上，墨西哥城机场海外货站仓储面积约1万平方米，货物处理能力预计在10万吨/年以上。两家海外货站设立后，将进一步提升从上海畅连全球的货运服务保障能级，为上海全方位门户复合型国际航空枢纽建设提供新的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上海机场年货邮吞吐量达到420.6万吨，全球排名首次跃升第2。去年以来，上海机场在苏州、昆山、松江等地推进设立前置货站，把机场“搬”到企业“家门口”，服务企业提升通关效率的同时进一步降低物流成本。未来将依托海外货站，与合作方探索推出更多高效、顺畅、便捷的航空物流解决方案，更好服务企业、服务区域产业升级和城市经济发展。（机场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久事集团以“公交+消费”“游船+消费”特色场景</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助力上海夜生活节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日前，2025上海夜生活节启动。久事集团下属久事公交与久事旅游积极参与并推出“公交+消费”“游船+消费”等一批特色场景。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夜生活节联合久事公交推出定制公交DZ407夜生活专线，涵盖BFC外滩金融中心、上海新天地、兴业太古汇、久光百货、上生新所等五个商业地标，打造“公交绿色出行+夏夜生活消费”特色场景。在6月13日至7月6日期间，消费者可以在商场内凭消费满66元消费小票至商场指定服务台换取定制公交的上车凭证，还有机会在车上获取限定纪念票根和偶遇车上快闪活动彩蛋，解锁公交乘车新惊喜。夜生活专线（DZ407）采用定制公交的方式运营，将在6月13日至7月6日之间，每周五、周六、周日营运，营运时间为14:00-22:00，线路长度15.2公里，配车2辆，发车间隔120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申城夜间“必游、必看、必打卡”的城市文旅金名片，久事旅游下属浦江游览再次升级，以“新场景”为引擎，重磅推出融合多元体验的主题夜航活动，点燃申城夜经济新活力。浦江游览精心构筑“音乐嘉年华+特色餐饮+萌宠社交+夜景沉浸”四位一体的梦幻夜航体验，让游船化身移动的“夜生活新地标”。其中，“云锦公主”轮已成功试运营三场次“Rave on Wave”音乐盛宴，超过600名游客登船体验。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通过交通场景与消费生态的深度联动，</w:t>
      </w:r>
      <w:r>
        <w:rPr>
          <w:rFonts w:hint="eastAsia" w:ascii="Times New Roman" w:hAnsi="Times New Roman" w:eastAsia="仿宋_GB2312" w:cs="Times New Roman"/>
          <w:i w:val="0"/>
          <w:iCs w:val="0"/>
          <w:caps w:val="0"/>
          <w:spacing w:val="0"/>
          <w:kern w:val="0"/>
          <w:sz w:val="32"/>
          <w:szCs w:val="32"/>
          <w:shd w:val="clear"/>
          <w:lang w:val="en-US" w:eastAsia="zh-CN" w:bidi="ar"/>
        </w:rPr>
        <w:t>久事集团将持续</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打造“可感知、可参与、可消费”的城市夜间生活圈，</w:t>
      </w:r>
      <w:r>
        <w:rPr>
          <w:rFonts w:hint="eastAsia" w:ascii="Times New Roman" w:hAnsi="Times New Roman" w:eastAsia="仿宋_GB2312" w:cs="Times New Roman"/>
          <w:i w:val="0"/>
          <w:iCs w:val="0"/>
          <w:caps w:val="0"/>
          <w:spacing w:val="0"/>
          <w:kern w:val="0"/>
          <w:sz w:val="32"/>
          <w:szCs w:val="32"/>
          <w:shd w:val="clear"/>
          <w:lang w:val="en-US" w:eastAsia="zh-CN" w:bidi="ar"/>
        </w:rPr>
        <w:t>助力</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上海国际消费中心城市建设</w:t>
      </w:r>
      <w:r>
        <w:rPr>
          <w:rFonts w:hint="eastAsia" w:ascii="Times New Roman" w:hAnsi="Times New Roman" w:eastAsia="仿宋_GB2312" w:cs="Times New Roman"/>
          <w:i w:val="0"/>
          <w:iCs w:val="0"/>
          <w:caps w:val="0"/>
          <w:spacing w:val="0"/>
          <w:kern w:val="0"/>
          <w:sz w:val="32"/>
          <w:szCs w:val="32"/>
          <w:shd w:val="clear"/>
          <w:lang w:val="en-US" w:eastAsia="zh-CN" w:bidi="ar"/>
        </w:rPr>
        <w:t>。</w:t>
      </w:r>
      <w:r>
        <w:rPr>
          <w:rFonts w:hint="eastAsia" w:ascii="Times New Roman" w:hAnsi="Times New Roman" w:eastAsia="仿宋_GB2312" w:cs="Times New Roman"/>
          <w:sz w:val="32"/>
          <w:szCs w:val="32"/>
          <w:lang w:val="en-US" w:eastAsia="zh-CN"/>
        </w:rPr>
        <w:t>（久事集团）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方厅水院迎来“首秀”</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长新公司承办2025全球环境与可持续发展大会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长三角生态绿色一体化发展示范区方厅水院迎来竣工后首场世界级盛会，来自36个国家和地区的400多位代表齐聚“2025全球环境与可持续发展大会”，聚焦可持续发展前沿议题，共同探讨、交流和分享推进生态优先、节约集约、绿色发展的解决方案和实现路径。大会由联合国环境规划署、同济大学、长三角生态绿色一体化发展示范区执委会共同主办，长新公司参与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本次大会的可持续、生态绿色、环境资源化等理念与方厅水院的绿色低碳理念形成深刻呼应，实现了从“大会愿景”到“原点实践”的双向奔赴。方厅水院创新集成国家近零能耗、绿建三星、上海超低能耗等设计标准，通过系统性设计、被动式节能技术与主动式节能技术相结合、可再生能源利用与智慧能源管理系统深度融合等方式，打造国内领先的“近零碳大型公共建筑”标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着方厅水院“首秀”的圆满落幕，其卓越的硬件设施、优美的环境和一流的服务能力获得了与会各国嘉宾的高度赞誉。后续，还有长三角REITs论坛、太湖世界文化论坛等国际国内大型会议在此召开。未来将有大量高规格的国内国际会议、展览、论坛选择在此举办，更多的人流、物流、资金流、信息流等高端要素向此汇聚、流动与交互，将有效激活区域发展动能，提升区域在全国乃至全球的吸引力与竞争力。（长新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长三角示范区崛起“AI水立方”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上实环境打造高科技污水处理工厂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今年初，上实环境西岑污水处理厂正式投入商业运行。该厂总投资7.19亿元，占地44.85亩，出水水质执行地表水准Ⅲ类标准，是全国出水标准最优的地埋式污水处理厂之一。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流线造型的“水立方”正式投运，不仅标志着长三角生态绿色一体化发展示范区基础设施升级迈出关键一步，更以科技赋能生态治理，为区域高质量发展和优质营商环境注入绿色动能。步入这座花园式污水处理厂，全然感受不到传统污水处理设施的异味。高质量运行的背后，离不开“AI+”智慧利器。连日来，污水处理厂技术人员依托“AI+智慧水务”的科技手段和覆盖生产全流程的“数字孪生”智能管控系统，动态、实时、高效地调整运行参数，从而精准应对不断加码的污水处理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正是因为有了这套覆盖“感知—决策—执行”的“AI+智慧水务”系统，这座一期投产后日污水处理能力达2.5万吨的“庞然大物”只需几名技术人员轮值，安全生产更是从“事后应对”转向“事前预防”，从而保障生产的连续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传统污水处理厂的“邻避效应”不可避免，上实集团打破魔咒，秘诀在于践行“双碳”目标，实现资源增值。“水立方”中光伏发电、光导照明等技术的应用，进一步降低了污水处理厂整体运营的碳排放。</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这一水务低碳转型的数字化“上海方案”</w:t>
      </w:r>
      <w:r>
        <w:rPr>
          <w:rFonts w:hint="eastAsia" w:ascii="Times New Roman" w:hAnsi="Times New Roman" w:eastAsia="仿宋_GB2312" w:cs="Times New Roman"/>
          <w:i w:val="0"/>
          <w:iCs w:val="0"/>
          <w:caps w:val="0"/>
          <w:spacing w:val="0"/>
          <w:kern w:val="0"/>
          <w:sz w:val="32"/>
          <w:szCs w:val="32"/>
          <w:shd w:val="clear"/>
          <w:lang w:val="en-US" w:eastAsia="zh-CN" w:bidi="ar"/>
        </w:rPr>
        <w:t>，将为</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全国行业提供智慧减碳样板。</w:t>
      </w:r>
      <w:r>
        <w:rPr>
          <w:rFonts w:hint="eastAsia" w:ascii="Times New Roman" w:hAnsi="Times New Roman" w:eastAsia="仿宋_GB2312" w:cs="Times New Roman"/>
          <w:sz w:val="32"/>
          <w:szCs w:val="32"/>
          <w:lang w:val="en-US" w:eastAsia="zh-CN"/>
        </w:rPr>
        <w:t>（上实集团）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ans-serif">
    <w:altName w:val="仿宋_GB2312"/>
    <w:panose1 w:val="00000000000000000000"/>
    <w:charset w:val="00"/>
    <w:family w:val="auto"/>
    <w:pitch w:val="default"/>
    <w:sig w:usb0="00000000" w:usb1="00000000" w:usb2="00000000" w:usb3="00000000" w:csb0="00000000" w:csb1="00000000"/>
  </w:font>
  <w:font w:name="WenQuanYi Micro Hei">
    <w:altName w:val="宋体"/>
    <w:panose1 w:val="020B0606030804020204"/>
    <w:charset w:val="86"/>
    <w:family w:val="auto"/>
    <w:pitch w:val="default"/>
    <w:sig w:usb0="00000000" w:usb1="00000000" w:usb2="00800036" w:usb3="00000000" w:csb0="603E01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C26AB7"/>
    <w:rsid w:val="02542A68"/>
    <w:rsid w:val="02CF179A"/>
    <w:rsid w:val="032019A3"/>
    <w:rsid w:val="03983AEF"/>
    <w:rsid w:val="03A4182A"/>
    <w:rsid w:val="0445609B"/>
    <w:rsid w:val="05140E79"/>
    <w:rsid w:val="055C7306"/>
    <w:rsid w:val="06AB0FB7"/>
    <w:rsid w:val="070B0A6A"/>
    <w:rsid w:val="073C1BB7"/>
    <w:rsid w:val="07825089"/>
    <w:rsid w:val="07B63ECE"/>
    <w:rsid w:val="07C0730B"/>
    <w:rsid w:val="080229C2"/>
    <w:rsid w:val="08A27432"/>
    <w:rsid w:val="09017ABC"/>
    <w:rsid w:val="09F83F30"/>
    <w:rsid w:val="0A1E0C9C"/>
    <w:rsid w:val="0A971B3B"/>
    <w:rsid w:val="0ACB1125"/>
    <w:rsid w:val="0DAD5474"/>
    <w:rsid w:val="0E3C6235"/>
    <w:rsid w:val="0F764DF6"/>
    <w:rsid w:val="0F7A7CAA"/>
    <w:rsid w:val="10230ECA"/>
    <w:rsid w:val="10F75119"/>
    <w:rsid w:val="118F67AC"/>
    <w:rsid w:val="11AA31D0"/>
    <w:rsid w:val="1236585E"/>
    <w:rsid w:val="13540142"/>
    <w:rsid w:val="13F66A35"/>
    <w:rsid w:val="162A04E8"/>
    <w:rsid w:val="165476B9"/>
    <w:rsid w:val="190C16D7"/>
    <w:rsid w:val="193C57A2"/>
    <w:rsid w:val="19FF2DF0"/>
    <w:rsid w:val="1A2F2214"/>
    <w:rsid w:val="1A7F5348"/>
    <w:rsid w:val="1C012633"/>
    <w:rsid w:val="1C5A0EBF"/>
    <w:rsid w:val="1C7812E6"/>
    <w:rsid w:val="1C8D644C"/>
    <w:rsid w:val="1CF006D7"/>
    <w:rsid w:val="1D981EDF"/>
    <w:rsid w:val="1F0410D5"/>
    <w:rsid w:val="1F407E94"/>
    <w:rsid w:val="207B5586"/>
    <w:rsid w:val="20F929D3"/>
    <w:rsid w:val="216A3DB7"/>
    <w:rsid w:val="219E3C2C"/>
    <w:rsid w:val="22A80C48"/>
    <w:rsid w:val="22EA71EF"/>
    <w:rsid w:val="23C0706B"/>
    <w:rsid w:val="244E564B"/>
    <w:rsid w:val="24C743FC"/>
    <w:rsid w:val="24ED2A08"/>
    <w:rsid w:val="25097D46"/>
    <w:rsid w:val="250D4823"/>
    <w:rsid w:val="2516574D"/>
    <w:rsid w:val="25F5339D"/>
    <w:rsid w:val="2666515F"/>
    <w:rsid w:val="26C35C39"/>
    <w:rsid w:val="27300D39"/>
    <w:rsid w:val="2760460C"/>
    <w:rsid w:val="27A9758C"/>
    <w:rsid w:val="281744F4"/>
    <w:rsid w:val="28244762"/>
    <w:rsid w:val="285E6A86"/>
    <w:rsid w:val="29254C53"/>
    <w:rsid w:val="29F82CA7"/>
    <w:rsid w:val="2B7012F8"/>
    <w:rsid w:val="2C014C4B"/>
    <w:rsid w:val="2C1F554F"/>
    <w:rsid w:val="2E361A68"/>
    <w:rsid w:val="2EB77C5F"/>
    <w:rsid w:val="2ECE3A26"/>
    <w:rsid w:val="2F2F162D"/>
    <w:rsid w:val="2F7375FF"/>
    <w:rsid w:val="2FDD0E25"/>
    <w:rsid w:val="300D329E"/>
    <w:rsid w:val="301B7493"/>
    <w:rsid w:val="301F3094"/>
    <w:rsid w:val="30290226"/>
    <w:rsid w:val="31032928"/>
    <w:rsid w:val="312F01DD"/>
    <w:rsid w:val="31CD5D35"/>
    <w:rsid w:val="31E6344B"/>
    <w:rsid w:val="32500983"/>
    <w:rsid w:val="343329BE"/>
    <w:rsid w:val="35514402"/>
    <w:rsid w:val="3554216E"/>
    <w:rsid w:val="35B4667D"/>
    <w:rsid w:val="37597A7D"/>
    <w:rsid w:val="3786512C"/>
    <w:rsid w:val="38920A60"/>
    <w:rsid w:val="3A4C40CC"/>
    <w:rsid w:val="3AB20F60"/>
    <w:rsid w:val="3AD04F66"/>
    <w:rsid w:val="3AF77724"/>
    <w:rsid w:val="3B7C5DBF"/>
    <w:rsid w:val="3BCB23D0"/>
    <w:rsid w:val="3C3E6BFF"/>
    <w:rsid w:val="3EDF369D"/>
    <w:rsid w:val="3EFA3C04"/>
    <w:rsid w:val="3FA24FAE"/>
    <w:rsid w:val="3FC0550C"/>
    <w:rsid w:val="3FD0329A"/>
    <w:rsid w:val="406250BE"/>
    <w:rsid w:val="40CA3488"/>
    <w:rsid w:val="41004E13"/>
    <w:rsid w:val="417409FD"/>
    <w:rsid w:val="41EF0922"/>
    <w:rsid w:val="42CA1BFE"/>
    <w:rsid w:val="433D0234"/>
    <w:rsid w:val="435D2315"/>
    <w:rsid w:val="436D130E"/>
    <w:rsid w:val="446C643C"/>
    <w:rsid w:val="44816CA3"/>
    <w:rsid w:val="44F33EBB"/>
    <w:rsid w:val="469541D9"/>
    <w:rsid w:val="46E70277"/>
    <w:rsid w:val="470E1118"/>
    <w:rsid w:val="478C75E0"/>
    <w:rsid w:val="492935CE"/>
    <w:rsid w:val="492A6C68"/>
    <w:rsid w:val="49933CCA"/>
    <w:rsid w:val="49F1532D"/>
    <w:rsid w:val="4B70108D"/>
    <w:rsid w:val="4B7D6F2A"/>
    <w:rsid w:val="4B8259EC"/>
    <w:rsid w:val="4BC31988"/>
    <w:rsid w:val="4C1B6F2D"/>
    <w:rsid w:val="4D0079D8"/>
    <w:rsid w:val="4DBF241A"/>
    <w:rsid w:val="4E0A31AD"/>
    <w:rsid w:val="4EFB4E75"/>
    <w:rsid w:val="4F11272B"/>
    <w:rsid w:val="4F2F47E9"/>
    <w:rsid w:val="4F5C7BC8"/>
    <w:rsid w:val="4F95631A"/>
    <w:rsid w:val="4FB57281"/>
    <w:rsid w:val="503932A1"/>
    <w:rsid w:val="510D22FC"/>
    <w:rsid w:val="51C25036"/>
    <w:rsid w:val="5243570B"/>
    <w:rsid w:val="525E7AE8"/>
    <w:rsid w:val="528732C6"/>
    <w:rsid w:val="53167F10"/>
    <w:rsid w:val="53364766"/>
    <w:rsid w:val="53632B61"/>
    <w:rsid w:val="538818A6"/>
    <w:rsid w:val="53A32F56"/>
    <w:rsid w:val="54974361"/>
    <w:rsid w:val="55231E61"/>
    <w:rsid w:val="55E83B43"/>
    <w:rsid w:val="55FB53BC"/>
    <w:rsid w:val="566F2BF8"/>
    <w:rsid w:val="572B77F8"/>
    <w:rsid w:val="577B7AE2"/>
    <w:rsid w:val="58E6403D"/>
    <w:rsid w:val="59AE5830"/>
    <w:rsid w:val="5A31389F"/>
    <w:rsid w:val="5AF067D6"/>
    <w:rsid w:val="5B286DE9"/>
    <w:rsid w:val="5B4F2CF8"/>
    <w:rsid w:val="5BD970DF"/>
    <w:rsid w:val="5BF634BF"/>
    <w:rsid w:val="5C80120B"/>
    <w:rsid w:val="5C992FBD"/>
    <w:rsid w:val="5D1C099F"/>
    <w:rsid w:val="5E594303"/>
    <w:rsid w:val="5ED03E9D"/>
    <w:rsid w:val="60613598"/>
    <w:rsid w:val="60D263E2"/>
    <w:rsid w:val="611E599C"/>
    <w:rsid w:val="61387C21"/>
    <w:rsid w:val="62724DE1"/>
    <w:rsid w:val="62B3439F"/>
    <w:rsid w:val="64201479"/>
    <w:rsid w:val="64AB25A5"/>
    <w:rsid w:val="64C959FB"/>
    <w:rsid w:val="64D3375B"/>
    <w:rsid w:val="64D708AB"/>
    <w:rsid w:val="64D90FE5"/>
    <w:rsid w:val="64FE76EA"/>
    <w:rsid w:val="65377345"/>
    <w:rsid w:val="663D7A79"/>
    <w:rsid w:val="664877E1"/>
    <w:rsid w:val="67294FEC"/>
    <w:rsid w:val="6A5E142E"/>
    <w:rsid w:val="6D935D0C"/>
    <w:rsid w:val="6D9615FA"/>
    <w:rsid w:val="6E2A4363"/>
    <w:rsid w:val="6E8577EF"/>
    <w:rsid w:val="6EFC6F90"/>
    <w:rsid w:val="6FFD3603"/>
    <w:rsid w:val="70B3417F"/>
    <w:rsid w:val="70CA3392"/>
    <w:rsid w:val="71044AAD"/>
    <w:rsid w:val="71C61BB7"/>
    <w:rsid w:val="71D714B1"/>
    <w:rsid w:val="71F25086"/>
    <w:rsid w:val="7298684C"/>
    <w:rsid w:val="73917311"/>
    <w:rsid w:val="748D3600"/>
    <w:rsid w:val="74F4564D"/>
    <w:rsid w:val="75D1551E"/>
    <w:rsid w:val="76675694"/>
    <w:rsid w:val="77D56B93"/>
    <w:rsid w:val="77E904D8"/>
    <w:rsid w:val="77F7F08C"/>
    <w:rsid w:val="79FC27AE"/>
    <w:rsid w:val="7AA77778"/>
    <w:rsid w:val="7BE562F0"/>
    <w:rsid w:val="7BF025DA"/>
    <w:rsid w:val="7C171F28"/>
    <w:rsid w:val="7C1752E2"/>
    <w:rsid w:val="7C271130"/>
    <w:rsid w:val="7CFF1588"/>
    <w:rsid w:val="7DED3ACD"/>
    <w:rsid w:val="7E724FEE"/>
    <w:rsid w:val="7FF9564B"/>
    <w:rsid w:val="8FDF3915"/>
    <w:rsid w:val="B67A0D96"/>
    <w:rsid w:val="BDDF0FC1"/>
    <w:rsid w:val="C8B7D2F2"/>
    <w:rsid w:val="D7BDABBA"/>
    <w:rsid w:val="DBEE8A6F"/>
    <w:rsid w:val="EBD67303"/>
    <w:rsid w:val="F7777F77"/>
    <w:rsid w:val="FF4D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2025-04-02T02:28:00Z</dcterms:created>
  <dc:creator>user</dc:creator>
  <cp:lastModifiedBy>user</cp:lastModifiedBy>
  <dcterms:modified xsi:type="dcterms:W3CDTF">2025-06-13T02:02:43Z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15D7C5D7BFA328475FAA4A68E49E50E6</vt:lpwstr>
  </property>
</Properties>
</file>