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3" w:rsidRDefault="00837573" w:rsidP="00837573">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837573" w:rsidRDefault="00837573" w:rsidP="00837573">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2期</w:t>
      </w:r>
    </w:p>
    <w:p w:rsidR="00837573" w:rsidRDefault="00837573" w:rsidP="00837573">
      <w:pPr>
        <w:spacing w:line="480" w:lineRule="exact"/>
        <w:ind w:rightChars="-42" w:right="-88"/>
        <w:jc w:val="center"/>
        <w:rPr>
          <w:rFonts w:ascii="宋体"/>
          <w:b/>
          <w:sz w:val="32"/>
        </w:rPr>
      </w:pPr>
    </w:p>
    <w:p w:rsidR="00393224" w:rsidRDefault="00393224" w:rsidP="00393224">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393224" w:rsidRDefault="00393224" w:rsidP="00393224">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2019</w:t>
      </w:r>
      <w:r>
        <w:rPr>
          <w:rFonts w:ascii="楷体_GB2312" w:eastAsia="楷体_GB2312" w:hAnsi="宋体" w:hint="eastAsia"/>
          <w:spacing w:val="-14"/>
          <w:sz w:val="28"/>
          <w:u w:val="single" w:color="FF0000"/>
        </w:rPr>
        <w:t>年</w:t>
      </w:r>
      <w:r>
        <w:rPr>
          <w:rFonts w:ascii="楷体_GB2312" w:eastAsia="楷体_GB2312" w:hAnsi="宋体"/>
          <w:spacing w:val="-14"/>
          <w:sz w:val="28"/>
          <w:u w:val="single" w:color="FF0000"/>
        </w:rPr>
        <w:t>7</w:t>
      </w:r>
      <w:r>
        <w:rPr>
          <w:rFonts w:ascii="楷体_GB2312" w:eastAsia="楷体_GB2312" w:hAnsi="宋体" w:hint="eastAsia"/>
          <w:spacing w:val="-14"/>
          <w:sz w:val="28"/>
          <w:u w:val="single" w:color="FF0000"/>
        </w:rPr>
        <w:t>月9日</w:t>
      </w:r>
    </w:p>
    <w:p w:rsidR="00393224" w:rsidRDefault="00393224" w:rsidP="009C5023">
      <w:pPr>
        <w:tabs>
          <w:tab w:val="left" w:pos="420"/>
        </w:tabs>
        <w:spacing w:afterLines="50" w:line="440" w:lineRule="exact"/>
        <w:ind w:rightChars="-42" w:right="-88"/>
        <w:rPr>
          <w:rFonts w:ascii="华文中宋" w:eastAsia="华文中宋" w:hAnsi="华文中宋" w:cs="仿宋_GB2312"/>
          <w:b/>
          <w:sz w:val="28"/>
          <w:szCs w:val="28"/>
        </w:rPr>
      </w:pPr>
    </w:p>
    <w:p w:rsidR="00837573" w:rsidRPr="00393224" w:rsidRDefault="00837573" w:rsidP="009C5023">
      <w:pPr>
        <w:tabs>
          <w:tab w:val="left" w:pos="420"/>
        </w:tabs>
        <w:spacing w:afterLines="50" w:line="440" w:lineRule="exact"/>
        <w:ind w:rightChars="-42" w:right="-88"/>
        <w:rPr>
          <w:rFonts w:ascii="华文中宋" w:eastAsia="华文中宋" w:hAnsi="华文中宋" w:cs="仿宋_GB2312"/>
          <w:b/>
          <w:sz w:val="28"/>
          <w:szCs w:val="28"/>
        </w:rPr>
      </w:pPr>
    </w:p>
    <w:p w:rsidR="00837573" w:rsidRPr="00253B2C" w:rsidRDefault="00837573" w:rsidP="009C5023">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837573" w:rsidRDefault="00837573" w:rsidP="00393224">
      <w:pPr>
        <w:spacing w:line="440" w:lineRule="exact"/>
        <w:ind w:left="420"/>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浦发银行发布“兑呗”系列产品</w:t>
      </w:r>
    </w:p>
    <w:p w:rsidR="00837573" w:rsidRDefault="00837573" w:rsidP="00393224">
      <w:pPr>
        <w:spacing w:line="440" w:lineRule="exact"/>
        <w:ind w:left="420"/>
        <w:jc w:val="center"/>
        <w:rPr>
          <w:rFonts w:ascii="华文中宋" w:eastAsia="华文中宋" w:hAnsi="华文中宋" w:cs="仿宋_GB2312"/>
          <w:b/>
          <w:sz w:val="28"/>
          <w:szCs w:val="28"/>
        </w:rPr>
      </w:pPr>
      <w:r w:rsidRPr="00F518B9">
        <w:rPr>
          <w:rFonts w:ascii="华文中宋" w:eastAsia="华文中宋" w:hAnsi="华文中宋" w:cs="仿宋_GB2312" w:hint="eastAsia"/>
          <w:b/>
          <w:sz w:val="28"/>
          <w:szCs w:val="28"/>
        </w:rPr>
        <w:t>自由贸易账户网银可实时结售汇</w:t>
      </w:r>
    </w:p>
    <w:p w:rsidR="00837573" w:rsidRDefault="00837573" w:rsidP="00837573">
      <w:pPr>
        <w:spacing w:line="440" w:lineRule="exact"/>
        <w:ind w:left="420"/>
        <w:jc w:val="center"/>
        <w:rPr>
          <w:rFonts w:ascii="华文中宋" w:eastAsia="华文中宋" w:hAnsi="华文中宋" w:cs="仿宋_GB2312"/>
          <w:b/>
          <w:sz w:val="28"/>
          <w:szCs w:val="28"/>
        </w:rPr>
      </w:pPr>
    </w:p>
    <w:p w:rsidR="00837573" w:rsidRPr="00F518B9" w:rsidRDefault="00837573" w:rsidP="00837573">
      <w:pPr>
        <w:snapToGrid w:val="0"/>
        <w:spacing w:line="4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rPr>
        <w:t>近日，浦发银行正式发布自贸“兑呗”系列产品，该系列产品</w:t>
      </w:r>
      <w:r w:rsidRPr="00F518B9">
        <w:rPr>
          <w:rFonts w:ascii="仿宋_GB2312" w:eastAsia="仿宋_GB2312" w:hAnsi="宋体" w:cs="仿宋_GB2312" w:hint="eastAsia"/>
          <w:sz w:val="28"/>
          <w:szCs w:val="28"/>
        </w:rPr>
        <w:t>旨在通过自贸汇兑产品的升级为企业客户提供更为优质和便利的资金避险与增值服务</w:t>
      </w:r>
      <w:r w:rsidR="00393224">
        <w:rPr>
          <w:rFonts w:ascii="仿宋_GB2312" w:eastAsia="仿宋_GB2312" w:hAnsi="宋体" w:cs="仿宋_GB2312" w:hint="eastAsia"/>
          <w:sz w:val="28"/>
          <w:szCs w:val="28"/>
        </w:rPr>
        <w:t>,</w:t>
      </w:r>
      <w:r w:rsidRPr="00F518B9">
        <w:rPr>
          <w:rFonts w:ascii="仿宋_GB2312" w:eastAsia="仿宋_GB2312" w:hAnsi="宋体" w:cs="仿宋_GB2312" w:hint="eastAsia"/>
          <w:sz w:val="28"/>
          <w:szCs w:val="28"/>
        </w:rPr>
        <w:t>打造自贸金融领域高品质服务。</w:t>
      </w:r>
    </w:p>
    <w:p w:rsidR="00837573" w:rsidRDefault="00837573" w:rsidP="00393224">
      <w:pPr>
        <w:snapToGrid w:val="0"/>
        <w:spacing w:line="440" w:lineRule="exact"/>
        <w:ind w:firstLineChars="200" w:firstLine="560"/>
        <w:rPr>
          <w:rFonts w:ascii="仿宋_GB2312" w:eastAsia="仿宋_GB2312" w:hAnsi="宋体" w:cs="仿宋_GB2312"/>
          <w:sz w:val="28"/>
          <w:szCs w:val="28"/>
        </w:rPr>
      </w:pPr>
      <w:r w:rsidRPr="00F518B9">
        <w:rPr>
          <w:rFonts w:ascii="仿宋_GB2312" w:eastAsia="仿宋_GB2312" w:hAnsi="宋体" w:cs="仿宋_GB2312" w:hint="eastAsia"/>
          <w:sz w:val="28"/>
          <w:szCs w:val="28"/>
        </w:rPr>
        <w:t>“兑呗”产品分为“避险兑”“增利兑”两个系列，共</w:t>
      </w:r>
      <w:r w:rsidRPr="00F518B9">
        <w:rPr>
          <w:rFonts w:ascii="仿宋_GB2312" w:eastAsia="仿宋_GB2312" w:hAnsi="宋体" w:cs="仿宋_GB2312"/>
          <w:sz w:val="28"/>
          <w:szCs w:val="28"/>
        </w:rPr>
        <w:t>15</w:t>
      </w:r>
      <w:r w:rsidRPr="00F518B9">
        <w:rPr>
          <w:rFonts w:ascii="仿宋_GB2312" w:eastAsia="仿宋_GB2312" w:hAnsi="宋体" w:cs="仿宋_GB2312" w:hint="eastAsia"/>
          <w:sz w:val="28"/>
          <w:szCs w:val="28"/>
        </w:rPr>
        <w:t>项产品，通过整合现已涵盖了自贸区与境内外联动的一揽子汇率、利率的套期保值产品帮助客户主动管理，在规避风险的同时实现资金的保值增值。其中“避险兑”产品系列是由基础汇兑产品和期权策略组成，帮助企业在汇率避险的基础上，优化远期结售汇汇率，锁定敞口，稳定利润。“增利兑”产品系列则通过存款配套远期，掉期或期权，帮助企业在汇率避险需求的基础上，实现资金的增值保值。据悉，目前在浦发银行开立自由贸易账户的近</w:t>
      </w:r>
      <w:r w:rsidRPr="00F518B9">
        <w:rPr>
          <w:rFonts w:ascii="仿宋_GB2312" w:eastAsia="仿宋_GB2312" w:hAnsi="宋体" w:cs="仿宋_GB2312"/>
          <w:sz w:val="28"/>
          <w:szCs w:val="28"/>
        </w:rPr>
        <w:t>4000</w:t>
      </w:r>
      <w:r w:rsidRPr="00F518B9">
        <w:rPr>
          <w:rFonts w:ascii="仿宋_GB2312" w:eastAsia="仿宋_GB2312" w:hAnsi="宋体" w:cs="仿宋_GB2312" w:hint="eastAsia"/>
          <w:sz w:val="28"/>
          <w:szCs w:val="28"/>
        </w:rPr>
        <w:t>家客户已经可以通过网上银行办理此项业务。后续在浦发银行新开立自由贸易账户的企业开通网银，也能第一时间享受该项服务。</w:t>
      </w:r>
      <w:r>
        <w:rPr>
          <w:rFonts w:ascii="仿宋_GB2312" w:eastAsia="仿宋_GB2312" w:hAnsi="宋体" w:cs="仿宋_GB2312" w:hint="eastAsia"/>
          <w:sz w:val="28"/>
          <w:szCs w:val="28"/>
        </w:rPr>
        <w:t xml:space="preserve">     </w:t>
      </w:r>
      <w:r w:rsidR="00393224">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（浦发银行）</w:t>
      </w:r>
    </w:p>
    <w:p w:rsidR="00837573" w:rsidRDefault="00837573" w:rsidP="00837573">
      <w:pPr>
        <w:snapToGrid w:val="0"/>
        <w:spacing w:line="440" w:lineRule="exact"/>
        <w:rPr>
          <w:rFonts w:ascii="仿宋_GB2312" w:eastAsia="仿宋_GB2312" w:hAnsi="宋体" w:cs="仿宋_GB2312"/>
          <w:sz w:val="28"/>
          <w:szCs w:val="28"/>
        </w:rPr>
      </w:pPr>
    </w:p>
    <w:p w:rsidR="00837573" w:rsidRPr="00393224" w:rsidRDefault="00837573" w:rsidP="00393224">
      <w:pPr>
        <w:snapToGrid w:val="0"/>
        <w:spacing w:line="440" w:lineRule="exact"/>
        <w:jc w:val="center"/>
        <w:rPr>
          <w:rFonts w:ascii="华文中宋" w:eastAsia="华文中宋" w:hAnsi="华文中宋" w:cs="仿宋_GB2312"/>
          <w:b/>
          <w:sz w:val="28"/>
          <w:szCs w:val="28"/>
        </w:rPr>
      </w:pPr>
      <w:r w:rsidRPr="00023966">
        <w:rPr>
          <w:rFonts w:ascii="华文中宋" w:eastAsia="华文中宋" w:hAnsi="华文中宋" w:cs="仿宋_GB2312" w:hint="eastAsia"/>
          <w:b/>
          <w:sz w:val="28"/>
          <w:szCs w:val="28"/>
        </w:rPr>
        <w:t>上海银行完成全国首单票据贴现通</w:t>
      </w:r>
    </w:p>
    <w:p w:rsidR="00837573" w:rsidRPr="00023966" w:rsidRDefault="00837573" w:rsidP="00837573">
      <w:pPr>
        <w:snapToGrid w:val="0"/>
        <w:spacing w:line="440" w:lineRule="exact"/>
        <w:ind w:firstLine="555"/>
        <w:rPr>
          <w:rFonts w:ascii="仿宋_GB2312" w:eastAsia="仿宋_GB2312" w:hAnsi="宋体" w:cs="仿宋_GB2312"/>
          <w:sz w:val="28"/>
          <w:szCs w:val="28"/>
        </w:rPr>
      </w:pPr>
      <w:r w:rsidRPr="00023966">
        <w:rPr>
          <w:rFonts w:ascii="仿宋_GB2312" w:eastAsia="仿宋_GB2312" w:hAnsi="宋体" w:cs="仿宋_GB2312" w:hint="eastAsia"/>
          <w:sz w:val="28"/>
          <w:szCs w:val="28"/>
        </w:rPr>
        <w:lastRenderedPageBreak/>
        <w:t>近日，上海票据交易所正式上线“贴现通”业务。作为上海票据交易所推出的首个票据经纪业务产品，它通过引入票据经纪业务机制，由银行作为票据经纪机构，为持票企业提供贴现信息咨询、询价和撮合等票据经纪服务。上海银行与工商银行撮合成功后作为贴现行快速响应实现放款，成功完成全国首笔业务。</w:t>
      </w:r>
    </w:p>
    <w:p w:rsidR="00837573" w:rsidRDefault="00393224" w:rsidP="00393224">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837573" w:rsidRPr="00023966">
        <w:rPr>
          <w:rFonts w:ascii="仿宋_GB2312" w:eastAsia="仿宋_GB2312" w:hAnsi="宋体" w:cs="仿宋_GB2312" w:hint="eastAsia"/>
          <w:sz w:val="28"/>
          <w:szCs w:val="28"/>
        </w:rPr>
        <w:t>“贴现通”的推出不仅有助于票据贴现市场信息共享，提高银行直</w:t>
      </w:r>
      <w:r w:rsidR="00837573">
        <w:rPr>
          <w:rFonts w:ascii="仿宋_GB2312" w:eastAsia="仿宋_GB2312" w:hAnsi="宋体" w:cs="仿宋_GB2312" w:hint="eastAsia"/>
          <w:sz w:val="28"/>
          <w:szCs w:val="28"/>
        </w:rPr>
        <w:t>贴报价透明度，更使企业可以在最短时间内获得更多的贴现融资渠道，成为</w:t>
      </w:r>
      <w:r w:rsidR="00837573" w:rsidRPr="00023966">
        <w:rPr>
          <w:rFonts w:ascii="仿宋_GB2312" w:eastAsia="仿宋_GB2312" w:hAnsi="宋体" w:cs="仿宋_GB2312" w:hint="eastAsia"/>
          <w:sz w:val="28"/>
          <w:szCs w:val="28"/>
        </w:rPr>
        <w:t>切实服务和支持民营中小企业发展的创新方式。</w:t>
      </w:r>
      <w:r w:rsidR="00837573">
        <w:rPr>
          <w:rFonts w:ascii="仿宋_GB2312" w:eastAsia="仿宋_GB2312" w:hAnsi="宋体" w:cs="仿宋_GB2312" w:hint="eastAsia"/>
          <w:sz w:val="28"/>
          <w:szCs w:val="28"/>
        </w:rPr>
        <w:t>（上海银行）</w:t>
      </w:r>
    </w:p>
    <w:p w:rsidR="00837573" w:rsidRDefault="00837573" w:rsidP="00837573">
      <w:pPr>
        <w:snapToGrid w:val="0"/>
        <w:spacing w:line="440" w:lineRule="exact"/>
        <w:ind w:firstLine="555"/>
        <w:rPr>
          <w:rFonts w:ascii="仿宋_GB2312" w:eastAsia="仿宋_GB2312" w:hAnsi="宋体" w:cs="仿宋_GB2312"/>
          <w:sz w:val="28"/>
          <w:szCs w:val="28"/>
        </w:rPr>
      </w:pPr>
    </w:p>
    <w:p w:rsidR="00837573" w:rsidRDefault="00837573" w:rsidP="00A07D1D">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上海农商银行正式取得“债券通”报价机构资格</w:t>
      </w:r>
    </w:p>
    <w:p w:rsidR="00837573" w:rsidRPr="004A640F" w:rsidRDefault="00837573" w:rsidP="00837573">
      <w:pPr>
        <w:snapToGrid w:val="0"/>
        <w:spacing w:line="440" w:lineRule="exact"/>
        <w:ind w:firstLine="555"/>
        <w:jc w:val="center"/>
        <w:rPr>
          <w:rFonts w:ascii="华文中宋" w:eastAsia="华文中宋" w:hAnsi="华文中宋" w:cs="仿宋_GB2312"/>
          <w:b/>
          <w:sz w:val="28"/>
          <w:szCs w:val="28"/>
        </w:rPr>
      </w:pPr>
    </w:p>
    <w:p w:rsidR="00837573" w:rsidRDefault="00393224" w:rsidP="00393224">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837573" w:rsidRPr="004A640F">
        <w:rPr>
          <w:rFonts w:ascii="仿宋_GB2312" w:eastAsia="仿宋_GB2312" w:hAnsi="宋体" w:cs="仿宋_GB2312" w:hint="eastAsia"/>
          <w:sz w:val="28"/>
          <w:szCs w:val="28"/>
        </w:rPr>
        <w:t>“债券通”开通两周年之际，上海农商银行正式取得“债券通”报价机构资格，成为首家参与“债券通”报价的农村金融机构。“债券通”上线两周年以来，业务蓬勃</w:t>
      </w:r>
      <w:r w:rsidR="00837573">
        <w:rPr>
          <w:rFonts w:ascii="仿宋_GB2312" w:eastAsia="仿宋_GB2312" w:hAnsi="宋体" w:cs="仿宋_GB2312" w:hint="eastAsia"/>
          <w:sz w:val="28"/>
          <w:szCs w:val="28"/>
        </w:rPr>
        <w:t>发展，机制不断完善，逐渐成为境外机构投资中国债券市场的重要渠道，</w:t>
      </w:r>
      <w:r w:rsidR="00837573" w:rsidRPr="004A640F">
        <w:rPr>
          <w:rFonts w:ascii="仿宋_GB2312" w:eastAsia="仿宋_GB2312" w:hAnsi="宋体" w:cs="仿宋_GB2312" w:hint="eastAsia"/>
          <w:sz w:val="28"/>
          <w:szCs w:val="28"/>
        </w:rPr>
        <w:t xml:space="preserve">推动了内地与香港债券市场的互联互通，满足了境外投资者灵活交易的需求，便利了境外被动投资者跟踪指数投资，为中国债券市场纳入国际主要债券指数注入动力。 </w:t>
      </w:r>
    </w:p>
    <w:p w:rsidR="00837573" w:rsidRPr="00023966" w:rsidRDefault="00837573" w:rsidP="00837573">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393224">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w:t>
      </w:r>
      <w:r w:rsidR="00393224">
        <w:rPr>
          <w:rFonts w:ascii="仿宋_GB2312" w:eastAsia="仿宋_GB2312" w:hAnsi="宋体" w:cs="仿宋_GB2312" w:hint="eastAsia"/>
          <w:sz w:val="28"/>
          <w:szCs w:val="28"/>
        </w:rPr>
        <w:t>上海</w:t>
      </w:r>
      <w:r>
        <w:rPr>
          <w:rFonts w:ascii="仿宋_GB2312" w:eastAsia="仿宋_GB2312" w:hAnsi="宋体" w:cs="仿宋_GB2312" w:hint="eastAsia"/>
          <w:sz w:val="28"/>
          <w:szCs w:val="28"/>
        </w:rPr>
        <w:t>农商银行）</w:t>
      </w:r>
    </w:p>
    <w:p w:rsidR="00837573" w:rsidRDefault="00837573" w:rsidP="009C5023">
      <w:pPr>
        <w:spacing w:afterLines="50" w:line="440" w:lineRule="exact"/>
        <w:ind w:rightChars="-42" w:right="-88"/>
        <w:rPr>
          <w:rFonts w:ascii="华文中宋" w:eastAsia="华文中宋" w:hAnsi="华文中宋" w:cs="仿宋_GB2312"/>
          <w:b/>
          <w:sz w:val="28"/>
          <w:szCs w:val="28"/>
        </w:rPr>
      </w:pPr>
    </w:p>
    <w:p w:rsidR="00837573" w:rsidRDefault="00837573" w:rsidP="00837573">
      <w:pPr>
        <w:snapToGrid w:val="0"/>
        <w:spacing w:line="440" w:lineRule="exact"/>
        <w:jc w:val="center"/>
        <w:rPr>
          <w:rFonts w:ascii="华文中宋" w:eastAsia="华文中宋" w:hAnsi="华文中宋" w:cs="仿宋_GB2312"/>
          <w:b/>
          <w:sz w:val="28"/>
          <w:szCs w:val="28"/>
        </w:rPr>
      </w:pPr>
      <w:r w:rsidRPr="00F518B9">
        <w:rPr>
          <w:rFonts w:ascii="华文中宋" w:eastAsia="华文中宋" w:hAnsi="华文中宋" w:cs="仿宋_GB2312" w:hint="eastAsia"/>
          <w:b/>
          <w:sz w:val="28"/>
          <w:szCs w:val="28"/>
        </w:rPr>
        <w:t>中国太保与云南中烟签署战略合作协议</w:t>
      </w:r>
    </w:p>
    <w:p w:rsidR="00837573" w:rsidRDefault="00837573" w:rsidP="00837573">
      <w:pPr>
        <w:snapToGrid w:val="0"/>
        <w:spacing w:line="440" w:lineRule="exact"/>
        <w:jc w:val="center"/>
        <w:rPr>
          <w:rFonts w:ascii="华文中宋" w:eastAsia="华文中宋" w:hAnsi="华文中宋" w:cs="仿宋_GB2312"/>
          <w:b/>
          <w:sz w:val="28"/>
          <w:szCs w:val="28"/>
        </w:rPr>
      </w:pPr>
    </w:p>
    <w:p w:rsidR="00837573" w:rsidRDefault="00837573" w:rsidP="00837573">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近</w:t>
      </w:r>
      <w:r w:rsidRPr="00F518B9">
        <w:rPr>
          <w:rFonts w:ascii="仿宋_GB2312" w:eastAsia="仿宋_GB2312" w:hAnsi="宋体" w:cs="仿宋_GB2312" w:hint="eastAsia"/>
          <w:sz w:val="28"/>
          <w:szCs w:val="28"/>
        </w:rPr>
        <w:t>日，中国太保与云南中烟在上海举办战略合作协议签约仪式。双方回顾了多年来在企业财产保险、责任险、货运险和企业年金等方面的合作成果，并就围绕服务国家战略，创新产品和服务供给进行了深入交流。双方一致同意整合资源、优势互补，共同开启在风险管理、投融资、健康养老和改善民生等领域更深层次的全方位合作，为上海“五个中心”建设和云南社会经济的发展贡献力量。</w:t>
      </w:r>
      <w:r>
        <w:rPr>
          <w:rFonts w:ascii="仿宋_GB2312" w:eastAsia="仿宋_GB2312" w:hAnsi="宋体" w:cs="仿宋_GB2312" w:hint="eastAsia"/>
          <w:sz w:val="28"/>
          <w:szCs w:val="28"/>
        </w:rPr>
        <w:t xml:space="preserve">  （太保集团）</w:t>
      </w:r>
    </w:p>
    <w:p w:rsidR="00837573" w:rsidRDefault="00837573" w:rsidP="00837573">
      <w:pPr>
        <w:snapToGrid w:val="0"/>
        <w:spacing w:line="440" w:lineRule="exact"/>
        <w:jc w:val="left"/>
        <w:rPr>
          <w:rFonts w:ascii="仿宋_GB2312" w:eastAsia="仿宋_GB2312" w:hAnsi="宋体" w:cs="仿宋_GB2312"/>
          <w:sz w:val="28"/>
          <w:szCs w:val="28"/>
        </w:rPr>
      </w:pPr>
    </w:p>
    <w:p w:rsidR="00837573" w:rsidRDefault="00837573" w:rsidP="009C5023">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837573" w:rsidRDefault="00837573" w:rsidP="00837573">
      <w:pPr>
        <w:snapToGrid w:val="0"/>
        <w:spacing w:line="440" w:lineRule="exact"/>
        <w:jc w:val="center"/>
        <w:rPr>
          <w:rFonts w:ascii="华文中宋" w:eastAsia="华文中宋" w:hAnsi="华文中宋" w:cs="MS Mincho"/>
          <w:b/>
          <w:sz w:val="28"/>
          <w:szCs w:val="28"/>
        </w:rPr>
      </w:pPr>
      <w:r>
        <w:rPr>
          <w:rFonts w:ascii="华文中宋" w:eastAsia="华文中宋" w:hAnsi="华文中宋" w:cs="MS Mincho" w:hint="eastAsia"/>
          <w:b/>
          <w:sz w:val="28"/>
          <w:szCs w:val="28"/>
        </w:rPr>
        <w:t>上汽</w:t>
      </w:r>
      <w:r w:rsidRPr="00401A64">
        <w:rPr>
          <w:rFonts w:ascii="华文中宋" w:eastAsia="华文中宋" w:hAnsi="华文中宋" w:cs="MS Mincho" w:hint="eastAsia"/>
          <w:b/>
          <w:sz w:val="28"/>
          <w:szCs w:val="28"/>
        </w:rPr>
        <w:t>种子基金孵化完成又一创新成果</w:t>
      </w:r>
    </w:p>
    <w:p w:rsidR="00837573" w:rsidRDefault="00837573" w:rsidP="00837573">
      <w:pPr>
        <w:snapToGrid w:val="0"/>
        <w:spacing w:line="440" w:lineRule="exact"/>
        <w:jc w:val="center"/>
        <w:rPr>
          <w:rFonts w:ascii="华文中宋" w:eastAsia="华文中宋" w:hAnsi="华文中宋" w:cs="MS Mincho"/>
          <w:b/>
          <w:sz w:val="28"/>
          <w:szCs w:val="28"/>
        </w:rPr>
      </w:pPr>
    </w:p>
    <w:p w:rsidR="00F5048A" w:rsidRDefault="00837573" w:rsidP="00F5048A">
      <w:pPr>
        <w:snapToGrid w:val="0"/>
        <w:spacing w:line="440" w:lineRule="exact"/>
        <w:ind w:firstLine="555"/>
        <w:rPr>
          <w:rFonts w:ascii="仿宋_GB2312" w:eastAsia="仿宋_GB2312" w:hAnsi="MS Mincho" w:cs="MS Mincho"/>
          <w:sz w:val="28"/>
          <w:szCs w:val="28"/>
        </w:rPr>
      </w:pPr>
      <w:r w:rsidRPr="00F518B9">
        <w:rPr>
          <w:rFonts w:ascii="仿宋_GB2312" w:eastAsia="仿宋_GB2312" w:hAnsi="MS Mincho" w:cs="MS Mincho" w:hint="eastAsia"/>
          <w:sz w:val="28"/>
          <w:szCs w:val="28"/>
        </w:rPr>
        <w:t>日前，上汽种子基金孵化创新再结硕果——由上汽乘用车i-Test群慧创新工作室开发的的E-SLAM</w:t>
      </w:r>
      <w:r w:rsidR="00F5048A">
        <w:rPr>
          <w:rFonts w:ascii="仿宋_GB2312" w:eastAsia="仿宋_GB2312" w:hAnsi="MS Mincho" w:cs="MS Mincho" w:hint="eastAsia"/>
          <w:sz w:val="28"/>
          <w:szCs w:val="28"/>
        </w:rPr>
        <w:t>全闭环四门开闭耐久性能试验系统”</w:t>
      </w:r>
      <w:r w:rsidRPr="00F518B9">
        <w:rPr>
          <w:rFonts w:ascii="仿宋_GB2312" w:eastAsia="仿宋_GB2312" w:hAnsi="MS Mincho" w:cs="MS Mincho" w:hint="eastAsia"/>
          <w:sz w:val="28"/>
          <w:szCs w:val="28"/>
        </w:rPr>
        <w:t>交由上汽红岩进行了预验收，并预计在7月底正式交付。</w:t>
      </w:r>
      <w:r>
        <w:rPr>
          <w:rFonts w:ascii="仿宋_GB2312" w:eastAsia="仿宋_GB2312" w:hAnsi="MS Mincho" w:cs="MS Mincho" w:hint="eastAsia"/>
          <w:sz w:val="28"/>
          <w:szCs w:val="28"/>
        </w:rPr>
        <w:t>该</w:t>
      </w:r>
      <w:r w:rsidRPr="00F518B9">
        <w:rPr>
          <w:rFonts w:ascii="仿宋_GB2312" w:eastAsia="仿宋_GB2312" w:hAnsi="MS Mincho" w:cs="MS Mincho" w:hint="eastAsia"/>
          <w:sz w:val="28"/>
          <w:szCs w:val="28"/>
        </w:rPr>
        <w:t>订单标志着上汽集团种子基金“029号”种子正式迈出了产业化的第一步。截至5月，上汽“种子基金”创新平台已收到55家单位3318名员工的有效注册，提交创意821项。有262项创意进入“完善创意”阶段，获得5万元的资助。其中，99项进入“种子培育”阶段，获得50万元追加资金；在完成验收的43项创意中，有23项得到转化应用</w:t>
      </w:r>
      <w:r>
        <w:rPr>
          <w:rFonts w:ascii="仿宋_GB2312" w:eastAsia="仿宋_GB2312" w:hAnsi="MS Mincho" w:cs="MS Mincho" w:hint="eastAsia"/>
          <w:sz w:val="28"/>
          <w:szCs w:val="28"/>
        </w:rPr>
        <w:t>。</w:t>
      </w:r>
    </w:p>
    <w:p w:rsidR="00837573" w:rsidRDefault="00F5048A" w:rsidP="00F5048A">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00837573">
        <w:rPr>
          <w:rFonts w:ascii="仿宋_GB2312" w:eastAsia="仿宋_GB2312" w:hAnsi="MS Mincho" w:cs="MS Mincho" w:hint="eastAsia"/>
          <w:sz w:val="28"/>
          <w:szCs w:val="28"/>
        </w:rPr>
        <w:t>（上汽集团）</w:t>
      </w:r>
    </w:p>
    <w:p w:rsidR="00837573" w:rsidRPr="008C1EC1" w:rsidRDefault="00837573" w:rsidP="00837573">
      <w:pPr>
        <w:snapToGrid w:val="0"/>
        <w:spacing w:line="440" w:lineRule="exact"/>
        <w:ind w:firstLine="555"/>
        <w:rPr>
          <w:rFonts w:ascii="仿宋_GB2312" w:eastAsia="仿宋_GB2312" w:hAnsi="MS Mincho" w:cs="MS Mincho"/>
          <w:sz w:val="28"/>
          <w:szCs w:val="28"/>
        </w:rPr>
      </w:pPr>
    </w:p>
    <w:p w:rsidR="00837573" w:rsidRDefault="00837573" w:rsidP="00837573">
      <w:pPr>
        <w:widowControl/>
        <w:spacing w:line="440" w:lineRule="exact"/>
        <w:jc w:val="center"/>
        <w:rPr>
          <w:rFonts w:ascii="华文中宋" w:eastAsia="华文中宋" w:hAnsi="华文中宋"/>
          <w:b/>
          <w:kern w:val="0"/>
          <w:sz w:val="28"/>
          <w:szCs w:val="28"/>
        </w:rPr>
      </w:pPr>
      <w:r w:rsidRPr="0073255A">
        <w:rPr>
          <w:rFonts w:ascii="华文中宋" w:eastAsia="华文中宋" w:hAnsi="华文中宋" w:hint="eastAsia"/>
          <w:b/>
          <w:kern w:val="0"/>
          <w:sz w:val="28"/>
          <w:szCs w:val="28"/>
        </w:rPr>
        <w:t>上海建工浦东足球场项目首根看台钢梁吊装成功</w:t>
      </w:r>
    </w:p>
    <w:p w:rsidR="00837573" w:rsidRDefault="00837573" w:rsidP="00837573">
      <w:pPr>
        <w:widowControl/>
        <w:spacing w:line="440" w:lineRule="exact"/>
        <w:jc w:val="center"/>
        <w:rPr>
          <w:rFonts w:ascii="华文中宋" w:eastAsia="华文中宋" w:hAnsi="华文中宋"/>
          <w:b/>
          <w:kern w:val="0"/>
          <w:sz w:val="28"/>
          <w:szCs w:val="28"/>
        </w:rPr>
      </w:pPr>
    </w:p>
    <w:p w:rsidR="00837573" w:rsidRDefault="00837573" w:rsidP="00837573">
      <w:pPr>
        <w:widowControl/>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近日，上海建工承建的上海浦东足球场看台区首根钢结构横梁成功就位，标志着上海浦东足球场的建设</w:t>
      </w:r>
      <w:r w:rsidRPr="0073255A">
        <w:rPr>
          <w:rFonts w:ascii="仿宋_GB2312" w:eastAsia="仿宋_GB2312" w:hAnsi="宋体" w:hint="eastAsia"/>
          <w:kern w:val="0"/>
          <w:sz w:val="28"/>
          <w:szCs w:val="28"/>
        </w:rPr>
        <w:t>正式由地下横向扩展转变为上部结构的纵深安装。浦东足球场项目位于锦绣东路以南，规划金滇路以东，金葵路以北，规划金湘路以西，区位条件优越，距离市中心约13公里，未来交通配套将包括2条地铁和多条公交线路，足球场总建筑面积为139304</w:t>
      </w:r>
      <w:r w:rsidRPr="0073255A">
        <w:rPr>
          <w:rFonts w:ascii="宋体" w:hAnsi="宋体" w:cs="宋体" w:hint="eastAsia"/>
          <w:kern w:val="0"/>
          <w:sz w:val="28"/>
          <w:szCs w:val="28"/>
        </w:rPr>
        <w:t>㎡</w:t>
      </w:r>
      <w:r w:rsidRPr="0073255A">
        <w:rPr>
          <w:rFonts w:ascii="仿宋_GB2312" w:eastAsia="仿宋_GB2312" w:hAnsi="仿宋_GB2312" w:cs="仿宋_GB2312" w:hint="eastAsia"/>
          <w:kern w:val="0"/>
          <w:sz w:val="28"/>
          <w:szCs w:val="28"/>
        </w:rPr>
        <w:t>。浦东足球场不仅是国内第一个能够满足</w:t>
      </w:r>
      <w:r w:rsidRPr="0073255A">
        <w:rPr>
          <w:rFonts w:ascii="仿宋_GB2312" w:eastAsia="仿宋_GB2312" w:hAnsi="宋体" w:hint="eastAsia"/>
          <w:kern w:val="0"/>
          <w:sz w:val="28"/>
          <w:szCs w:val="28"/>
        </w:rPr>
        <w:t>FIFA国际A级比赛的专业足球场，也是上海“十三五”期间体育基础设施建设的重要任务之一，被列为上海市2018年重大建设项目。</w:t>
      </w:r>
    </w:p>
    <w:p w:rsidR="00837573" w:rsidRDefault="00837573" w:rsidP="00837573">
      <w:pPr>
        <w:widowControl/>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（建工集团）</w:t>
      </w:r>
    </w:p>
    <w:p w:rsidR="00837573" w:rsidRDefault="00837573" w:rsidP="00837573">
      <w:pPr>
        <w:widowControl/>
        <w:spacing w:line="440" w:lineRule="exact"/>
        <w:rPr>
          <w:rFonts w:ascii="仿宋_GB2312" w:eastAsia="仿宋_GB2312" w:hAnsi="宋体"/>
          <w:kern w:val="0"/>
          <w:sz w:val="28"/>
          <w:szCs w:val="28"/>
        </w:rPr>
      </w:pPr>
    </w:p>
    <w:p w:rsidR="00837573" w:rsidRDefault="00837573" w:rsidP="00837573">
      <w:pPr>
        <w:widowControl/>
        <w:spacing w:line="440" w:lineRule="exact"/>
        <w:jc w:val="center"/>
        <w:rPr>
          <w:rFonts w:ascii="华文中宋" w:eastAsia="华文中宋" w:hAnsi="华文中宋"/>
          <w:b/>
          <w:kern w:val="0"/>
          <w:sz w:val="28"/>
          <w:szCs w:val="28"/>
        </w:rPr>
      </w:pPr>
      <w:r w:rsidRPr="004A640F">
        <w:rPr>
          <w:rFonts w:ascii="华文中宋" w:eastAsia="华文中宋" w:hAnsi="华文中宋" w:hint="eastAsia"/>
          <w:b/>
          <w:kern w:val="0"/>
          <w:sz w:val="28"/>
          <w:szCs w:val="28"/>
        </w:rPr>
        <w:t>隧道股份承建的南昌地铁2号线通车</w:t>
      </w:r>
    </w:p>
    <w:p w:rsidR="00837573" w:rsidRDefault="00837573" w:rsidP="00837573">
      <w:pPr>
        <w:widowControl/>
        <w:spacing w:line="440" w:lineRule="exact"/>
        <w:jc w:val="center"/>
        <w:rPr>
          <w:rFonts w:ascii="华文中宋" w:eastAsia="华文中宋" w:hAnsi="华文中宋"/>
          <w:b/>
          <w:kern w:val="0"/>
          <w:sz w:val="28"/>
          <w:szCs w:val="28"/>
        </w:rPr>
      </w:pPr>
    </w:p>
    <w:p w:rsidR="00837573" w:rsidRDefault="00837573" w:rsidP="00837573">
      <w:pPr>
        <w:widowControl/>
        <w:spacing w:line="440" w:lineRule="exact"/>
        <w:ind w:firstLine="570"/>
        <w:rPr>
          <w:rFonts w:ascii="仿宋_GB2312" w:eastAsia="仿宋_GB2312" w:hAnsi="宋体"/>
          <w:kern w:val="0"/>
          <w:sz w:val="28"/>
          <w:szCs w:val="28"/>
        </w:rPr>
      </w:pPr>
      <w:r w:rsidRPr="004A640F">
        <w:rPr>
          <w:rFonts w:ascii="仿宋_GB2312" w:eastAsia="仿宋_GB2312" w:hAnsi="宋体" w:hint="eastAsia"/>
          <w:kern w:val="0"/>
          <w:sz w:val="28"/>
          <w:szCs w:val="28"/>
        </w:rPr>
        <w:t>近日，由隧道股份市政集团承建的南昌轨交2</w:t>
      </w:r>
      <w:r>
        <w:rPr>
          <w:rFonts w:ascii="仿宋_GB2312" w:eastAsia="仿宋_GB2312" w:hAnsi="宋体" w:hint="eastAsia"/>
          <w:kern w:val="0"/>
          <w:sz w:val="28"/>
          <w:szCs w:val="28"/>
        </w:rPr>
        <w:t>号线后通段通车</w:t>
      </w:r>
      <w:r w:rsidRPr="004A640F">
        <w:rPr>
          <w:rFonts w:ascii="仿宋_GB2312" w:eastAsia="仿宋_GB2312" w:hAnsi="宋体" w:hint="eastAsia"/>
          <w:kern w:val="0"/>
          <w:sz w:val="28"/>
          <w:szCs w:val="28"/>
        </w:rPr>
        <w:t>。南昌地铁2号线土建工程包含六个地铁站、四个区间、16个出入口，全线总长5.2公里。施工区域均为南昌城市中心核心区域，其中青山路站是与地铁3号线换乘的地下三层车站，规模大，难度高、技术要求严。施工过程中，同时还遇到富水砂层地层、地下灌柱桩拔除、人行</w:t>
      </w:r>
      <w:r>
        <w:rPr>
          <w:rFonts w:ascii="仿宋_GB2312" w:eastAsia="仿宋_GB2312" w:hAnsi="宋体" w:hint="eastAsia"/>
          <w:kern w:val="0"/>
          <w:sz w:val="28"/>
          <w:szCs w:val="28"/>
        </w:rPr>
        <w:t>通道障碍构筑物、以及学校拆除、民房搬迁，管线搬移等多种复杂</w:t>
      </w:r>
      <w:r>
        <w:rPr>
          <w:rFonts w:ascii="仿宋_GB2312" w:eastAsia="仿宋_GB2312" w:hAnsi="宋体" w:hint="eastAsia"/>
          <w:kern w:val="0"/>
          <w:sz w:val="28"/>
          <w:szCs w:val="28"/>
        </w:rPr>
        <w:lastRenderedPageBreak/>
        <w:t>因素，</w:t>
      </w:r>
      <w:r w:rsidRPr="004A640F">
        <w:rPr>
          <w:rFonts w:ascii="仿宋_GB2312" w:eastAsia="仿宋_GB2312" w:hAnsi="宋体" w:hint="eastAsia"/>
          <w:kern w:val="0"/>
          <w:sz w:val="28"/>
          <w:szCs w:val="28"/>
        </w:rPr>
        <w:t>项目团队经过五年的攻坚克难、拼搏付出，圆满完成各项建设任务。</w:t>
      </w: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（隧道股份）</w:t>
      </w:r>
    </w:p>
    <w:p w:rsidR="00837573" w:rsidRDefault="00837573" w:rsidP="00837573">
      <w:pPr>
        <w:widowControl/>
        <w:spacing w:line="440" w:lineRule="exact"/>
        <w:rPr>
          <w:rFonts w:ascii="仿宋_GB2312" w:eastAsia="仿宋_GB2312" w:hAnsi="宋体"/>
          <w:kern w:val="0"/>
          <w:sz w:val="28"/>
          <w:szCs w:val="28"/>
        </w:rPr>
      </w:pPr>
    </w:p>
    <w:p w:rsidR="00837573" w:rsidRPr="004A640F" w:rsidRDefault="00837573" w:rsidP="00837573">
      <w:pPr>
        <w:widowControl/>
        <w:spacing w:line="440" w:lineRule="exact"/>
        <w:jc w:val="center"/>
        <w:rPr>
          <w:rFonts w:ascii="华文中宋" w:eastAsia="华文中宋" w:hAnsi="华文中宋"/>
          <w:b/>
          <w:kern w:val="0"/>
          <w:sz w:val="28"/>
          <w:szCs w:val="28"/>
        </w:rPr>
      </w:pPr>
      <w:r w:rsidRPr="004A640F">
        <w:rPr>
          <w:rFonts w:ascii="华文中宋" w:eastAsia="华文中宋" w:hAnsi="华文中宋" w:hint="eastAsia"/>
          <w:b/>
          <w:kern w:val="0"/>
          <w:sz w:val="28"/>
          <w:szCs w:val="28"/>
        </w:rPr>
        <w:t>服务长三角一体化示范区发展</w:t>
      </w:r>
    </w:p>
    <w:p w:rsidR="00837573" w:rsidRDefault="00837573" w:rsidP="00837573">
      <w:pPr>
        <w:widowControl/>
        <w:spacing w:line="440" w:lineRule="exact"/>
        <w:jc w:val="center"/>
        <w:rPr>
          <w:rFonts w:ascii="华文中宋" w:eastAsia="华文中宋" w:hAnsi="华文中宋"/>
          <w:b/>
          <w:kern w:val="0"/>
          <w:sz w:val="28"/>
          <w:szCs w:val="28"/>
        </w:rPr>
      </w:pPr>
      <w:r w:rsidRPr="004A640F">
        <w:rPr>
          <w:rFonts w:ascii="华文中宋" w:eastAsia="华文中宋" w:hAnsi="华文中宋" w:hint="eastAsia"/>
          <w:b/>
          <w:kern w:val="0"/>
          <w:sz w:val="28"/>
          <w:szCs w:val="28"/>
        </w:rPr>
        <w:t>华建集团水利院承接太湖流域河道整治工程</w:t>
      </w:r>
    </w:p>
    <w:p w:rsidR="00837573" w:rsidRPr="004A640F" w:rsidRDefault="00837573" w:rsidP="00837573">
      <w:pPr>
        <w:widowControl/>
        <w:spacing w:line="440" w:lineRule="exact"/>
        <w:jc w:val="center"/>
        <w:rPr>
          <w:rFonts w:ascii="华文中宋" w:eastAsia="华文中宋" w:hAnsi="华文中宋"/>
          <w:b/>
          <w:kern w:val="0"/>
          <w:sz w:val="28"/>
          <w:szCs w:val="28"/>
        </w:rPr>
      </w:pPr>
    </w:p>
    <w:p w:rsidR="00837573" w:rsidRDefault="00837573" w:rsidP="00837573">
      <w:pPr>
        <w:widowControl/>
        <w:spacing w:line="440" w:lineRule="exact"/>
        <w:ind w:firstLine="555"/>
        <w:rPr>
          <w:rFonts w:ascii="仿宋_GB2312" w:eastAsia="仿宋_GB2312" w:hAnsi="宋体"/>
          <w:kern w:val="0"/>
          <w:sz w:val="28"/>
          <w:szCs w:val="28"/>
        </w:rPr>
      </w:pPr>
      <w:r w:rsidRPr="004A640F">
        <w:rPr>
          <w:rFonts w:ascii="仿宋_GB2312" w:eastAsia="仿宋_GB2312" w:hAnsi="宋体" w:hint="eastAsia"/>
          <w:kern w:val="0"/>
          <w:sz w:val="28"/>
          <w:szCs w:val="28"/>
        </w:rPr>
        <w:t>日前，华建集团水利院顺利中标青浦区新塘港西段（淀山湖</w:t>
      </w:r>
      <w:r w:rsidR="00393224">
        <w:rPr>
          <w:rFonts w:ascii="仿宋_GB2312" w:eastAsia="仿宋_GB2312" w:hAnsi="宋体" w:hint="eastAsia"/>
          <w:kern w:val="0"/>
          <w:sz w:val="28"/>
          <w:szCs w:val="28"/>
        </w:rPr>
        <w:t>-</w:t>
      </w:r>
      <w:r w:rsidRPr="004A640F">
        <w:rPr>
          <w:rFonts w:ascii="仿宋_GB2312" w:eastAsia="仿宋_GB2312" w:hAnsi="宋体" w:hint="eastAsia"/>
          <w:kern w:val="0"/>
          <w:sz w:val="28"/>
          <w:szCs w:val="28"/>
        </w:rPr>
        <w:t>北浪</w:t>
      </w:r>
      <w:r>
        <w:rPr>
          <w:rFonts w:ascii="仿宋_GB2312" w:eastAsia="仿宋_GB2312" w:hAnsi="宋体" w:hint="eastAsia"/>
          <w:kern w:val="0"/>
          <w:sz w:val="28"/>
          <w:szCs w:val="28"/>
        </w:rPr>
        <w:t>西河）河道整治工程（一期）、新塘港西洋淀段河道整治工程（二期），</w:t>
      </w:r>
      <w:r w:rsidRPr="004A640F">
        <w:rPr>
          <w:rFonts w:ascii="仿宋_GB2312" w:eastAsia="仿宋_GB2312" w:hAnsi="宋体" w:hint="eastAsia"/>
          <w:kern w:val="0"/>
          <w:sz w:val="28"/>
          <w:szCs w:val="28"/>
        </w:rPr>
        <w:t>项目总投资19亿元。</w:t>
      </w:r>
    </w:p>
    <w:p w:rsidR="00837573" w:rsidRDefault="00837573" w:rsidP="00393224">
      <w:pPr>
        <w:widowControl/>
        <w:spacing w:line="440" w:lineRule="exact"/>
        <w:ind w:firstLine="555"/>
        <w:rPr>
          <w:rFonts w:ascii="仿宋_GB2312" w:eastAsia="仿宋_GB2312" w:hAnsi="宋体"/>
          <w:kern w:val="0"/>
          <w:sz w:val="28"/>
          <w:szCs w:val="28"/>
        </w:rPr>
      </w:pPr>
      <w:r w:rsidRPr="004A640F">
        <w:rPr>
          <w:rFonts w:ascii="仿宋_GB2312" w:eastAsia="仿宋_GB2312" w:hAnsi="宋体" w:hint="eastAsia"/>
          <w:kern w:val="0"/>
          <w:sz w:val="28"/>
          <w:szCs w:val="28"/>
        </w:rPr>
        <w:t>新塘港位于上海西</w:t>
      </w:r>
      <w:r w:rsidR="00427B23">
        <w:rPr>
          <w:rFonts w:ascii="仿宋_GB2312" w:eastAsia="仿宋_GB2312" w:hAnsi="宋体" w:hint="eastAsia"/>
          <w:kern w:val="0"/>
          <w:sz w:val="28"/>
          <w:szCs w:val="28"/>
        </w:rPr>
        <w:t>翼的长三角一体化发展示范区，属于太湖流域水环境综合治理项目之一，</w:t>
      </w:r>
      <w:r w:rsidRPr="004A640F">
        <w:rPr>
          <w:rFonts w:ascii="仿宋_GB2312" w:eastAsia="仿宋_GB2312" w:hAnsi="宋体" w:hint="eastAsia"/>
          <w:kern w:val="0"/>
          <w:sz w:val="28"/>
          <w:szCs w:val="28"/>
        </w:rPr>
        <w:t>总长6.3km，通过“一河一湖”形成淀山湖到西大盈港的引、排骨干通道。华建集团水利院秉承“水生态、水安全、水环境、水景观”的四位一体设计理念，构建功能复合型生态河流廊道。通过疏拓开挖河道，新建干河、支河口泵闸，新建防汛道路与支河口桥梁，新建改建跨河桥梁，新建沿岸景观绿化，提高区域防汛排水与水资源调度能力，形成水岸联动、健康永续的康体健身廊道，打造生趣盎然的绿色生态廊道。</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（华建集团）</w:t>
      </w:r>
    </w:p>
    <w:p w:rsidR="00837573" w:rsidRDefault="00837573" w:rsidP="00837573">
      <w:pPr>
        <w:widowControl/>
        <w:spacing w:line="440" w:lineRule="exact"/>
        <w:rPr>
          <w:rFonts w:ascii="仿宋_GB2312" w:eastAsia="仿宋_GB2312" w:hAnsi="宋体"/>
          <w:kern w:val="0"/>
          <w:sz w:val="28"/>
          <w:szCs w:val="28"/>
        </w:rPr>
      </w:pPr>
    </w:p>
    <w:p w:rsidR="00393224" w:rsidRDefault="00837573" w:rsidP="00837573">
      <w:pPr>
        <w:spacing w:line="440" w:lineRule="exact"/>
        <w:jc w:val="center"/>
        <w:rPr>
          <w:rFonts w:ascii="华文中宋" w:eastAsia="华文中宋" w:hAnsi="华文中宋"/>
          <w:b/>
          <w:kern w:val="0"/>
          <w:sz w:val="28"/>
          <w:szCs w:val="28"/>
        </w:rPr>
      </w:pPr>
      <w:r w:rsidRPr="00025AA6">
        <w:rPr>
          <w:rFonts w:ascii="华文中宋" w:eastAsia="华文中宋" w:hAnsi="华文中宋" w:hint="eastAsia"/>
          <w:b/>
          <w:kern w:val="0"/>
          <w:sz w:val="28"/>
          <w:szCs w:val="28"/>
        </w:rPr>
        <w:t>锦江</w:t>
      </w:r>
      <w:r>
        <w:rPr>
          <w:rFonts w:ascii="华文中宋" w:eastAsia="华文中宋" w:hAnsi="华文中宋" w:hint="eastAsia"/>
          <w:b/>
          <w:kern w:val="0"/>
          <w:sz w:val="28"/>
          <w:szCs w:val="28"/>
        </w:rPr>
        <w:t>集团</w:t>
      </w:r>
      <w:r w:rsidRPr="00025AA6">
        <w:rPr>
          <w:rFonts w:ascii="华文中宋" w:eastAsia="华文中宋" w:hAnsi="华文中宋" w:hint="eastAsia"/>
          <w:b/>
          <w:kern w:val="0"/>
          <w:sz w:val="28"/>
          <w:szCs w:val="28"/>
        </w:rPr>
        <w:t>首家</w:t>
      </w:r>
      <w:r>
        <w:rPr>
          <w:rFonts w:ascii="华文中宋" w:eastAsia="华文中宋" w:hAnsi="华文中宋" w:hint="eastAsia"/>
          <w:b/>
          <w:kern w:val="0"/>
          <w:sz w:val="28"/>
          <w:szCs w:val="28"/>
        </w:rPr>
        <w:t>海外</w:t>
      </w:r>
      <w:r w:rsidRPr="00025AA6">
        <w:rPr>
          <w:rFonts w:ascii="华文中宋" w:eastAsia="华文中宋" w:hAnsi="华文中宋" w:hint="eastAsia"/>
          <w:b/>
          <w:kern w:val="0"/>
          <w:sz w:val="28"/>
          <w:szCs w:val="28"/>
        </w:rPr>
        <w:t>高星级复合品牌酒店</w:t>
      </w:r>
    </w:p>
    <w:p w:rsidR="00837573" w:rsidRDefault="00837573" w:rsidP="00837573">
      <w:pPr>
        <w:spacing w:line="440" w:lineRule="exact"/>
        <w:jc w:val="center"/>
        <w:rPr>
          <w:rFonts w:ascii="华文中宋" w:eastAsia="华文中宋" w:hAnsi="华文中宋"/>
          <w:b/>
          <w:kern w:val="0"/>
          <w:sz w:val="28"/>
          <w:szCs w:val="28"/>
        </w:rPr>
      </w:pPr>
      <w:r w:rsidRPr="00025AA6">
        <w:rPr>
          <w:rFonts w:ascii="华文中宋" w:eastAsia="华文中宋" w:hAnsi="华文中宋" w:hint="eastAsia"/>
          <w:b/>
          <w:kern w:val="0"/>
          <w:sz w:val="28"/>
          <w:szCs w:val="28"/>
        </w:rPr>
        <w:t>德国法兰克福锦江饭店开业</w:t>
      </w:r>
    </w:p>
    <w:p w:rsidR="00837573" w:rsidRDefault="00837573" w:rsidP="00837573">
      <w:pPr>
        <w:spacing w:line="440" w:lineRule="exact"/>
        <w:jc w:val="center"/>
        <w:rPr>
          <w:rFonts w:ascii="仿宋_GB2312" w:eastAsia="仿宋_GB2312" w:hAnsi="宋体"/>
          <w:kern w:val="0"/>
          <w:sz w:val="28"/>
          <w:szCs w:val="28"/>
        </w:rPr>
      </w:pPr>
    </w:p>
    <w:p w:rsidR="00837573" w:rsidRDefault="00837573" w:rsidP="00837573">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w:t>
      </w:r>
      <w:r w:rsidRPr="00025AA6">
        <w:rPr>
          <w:rFonts w:ascii="仿宋_GB2312" w:eastAsia="仿宋_GB2312" w:hAnsi="宋体" w:hint="eastAsia"/>
          <w:kern w:val="0"/>
          <w:sz w:val="28"/>
          <w:szCs w:val="28"/>
        </w:rPr>
        <w:t>日，锦</w:t>
      </w:r>
      <w:r w:rsidR="00427B23">
        <w:rPr>
          <w:rFonts w:ascii="仿宋_GB2312" w:eastAsia="仿宋_GB2312" w:hAnsi="宋体" w:hint="eastAsia"/>
          <w:kern w:val="0"/>
          <w:sz w:val="28"/>
          <w:szCs w:val="28"/>
        </w:rPr>
        <w:t>江国际集团首家海外高星级复合品牌酒店—德国法兰克福锦江饭店开业，</w:t>
      </w:r>
      <w:r w:rsidR="009C5023">
        <w:rPr>
          <w:rFonts w:ascii="仿宋_GB2312" w:eastAsia="仿宋_GB2312" w:hAnsi="宋体" w:hint="eastAsia"/>
          <w:kern w:val="0"/>
          <w:sz w:val="28"/>
          <w:szCs w:val="28"/>
        </w:rPr>
        <w:t>这</w:t>
      </w:r>
      <w:r w:rsidR="00427B23">
        <w:rPr>
          <w:rFonts w:ascii="仿宋_GB2312" w:eastAsia="仿宋_GB2312" w:hAnsi="宋体" w:hint="eastAsia"/>
          <w:kern w:val="0"/>
          <w:sz w:val="28"/>
          <w:szCs w:val="28"/>
        </w:rPr>
        <w:t>是继</w:t>
      </w:r>
      <w:r>
        <w:rPr>
          <w:rFonts w:ascii="仿宋_GB2312" w:eastAsia="仿宋_GB2312" w:hAnsi="宋体" w:hint="eastAsia"/>
          <w:kern w:val="0"/>
          <w:sz w:val="28"/>
          <w:szCs w:val="28"/>
        </w:rPr>
        <w:t>锦江</w:t>
      </w:r>
      <w:r w:rsidRPr="00025AA6">
        <w:rPr>
          <w:rFonts w:ascii="仿宋_GB2312" w:eastAsia="仿宋_GB2312" w:hAnsi="宋体" w:hint="eastAsia"/>
          <w:kern w:val="0"/>
          <w:sz w:val="28"/>
          <w:szCs w:val="28"/>
        </w:rPr>
        <w:t>集团联合中国—中东欧基金收购丽笙酒店集团之后，实施全球品牌战略的重要举措之一。复合品牌酒店的诞生，不仅提升了锦江和丽笙在欧洲、中东、非洲地区及中国的认知度，同时也促进了中国与世界其他地区的文化交流。</w:t>
      </w:r>
      <w:r>
        <w:rPr>
          <w:rFonts w:ascii="仿宋_GB2312" w:eastAsia="仿宋_GB2312" w:hAnsi="宋体" w:hint="eastAsia"/>
          <w:kern w:val="0"/>
          <w:sz w:val="28"/>
          <w:szCs w:val="28"/>
        </w:rPr>
        <w:t>双方</w:t>
      </w:r>
      <w:r w:rsidRPr="00025AA6">
        <w:rPr>
          <w:rFonts w:ascii="仿宋_GB2312" w:eastAsia="仿宋_GB2312" w:hAnsi="宋体" w:hint="eastAsia"/>
          <w:kern w:val="0"/>
          <w:sz w:val="28"/>
          <w:szCs w:val="28"/>
        </w:rPr>
        <w:t>对复合品牌酒店有着良好的预期，未来将扩展至欧洲、中东和非洲的30多家酒店。为方便中国客人的预订，自2019年6月30日起，WeHotel锦江国际全球酒店预订平台将上线53</w:t>
      </w:r>
      <w:r>
        <w:rPr>
          <w:rFonts w:ascii="仿宋_GB2312" w:eastAsia="仿宋_GB2312" w:hAnsi="宋体" w:hint="eastAsia"/>
          <w:kern w:val="0"/>
          <w:sz w:val="28"/>
          <w:szCs w:val="28"/>
        </w:rPr>
        <w:t>家丽笙酒店集团旗下酒店，</w:t>
      </w:r>
      <w:r w:rsidRPr="00025AA6">
        <w:rPr>
          <w:rFonts w:ascii="仿宋_GB2312" w:eastAsia="仿宋_GB2312" w:hAnsi="宋体" w:hint="eastAsia"/>
          <w:kern w:val="0"/>
          <w:sz w:val="28"/>
          <w:szCs w:val="28"/>
        </w:rPr>
        <w:t>其他丽笙集团旗下酒店将于2019年底之前上线。</w:t>
      </w: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（锦江国际集团）</w:t>
      </w:r>
    </w:p>
    <w:p w:rsidR="00837573" w:rsidRDefault="00837573" w:rsidP="00837573">
      <w:pPr>
        <w:spacing w:line="440" w:lineRule="exact"/>
        <w:ind w:firstLine="555"/>
        <w:rPr>
          <w:rFonts w:ascii="仿宋_GB2312" w:eastAsia="仿宋_GB2312" w:hAnsi="宋体"/>
          <w:kern w:val="0"/>
          <w:sz w:val="28"/>
          <w:szCs w:val="28"/>
        </w:rPr>
      </w:pPr>
    </w:p>
    <w:p w:rsidR="00837573" w:rsidRDefault="00837573" w:rsidP="00837573">
      <w:pPr>
        <w:spacing w:line="440" w:lineRule="exact"/>
        <w:ind w:firstLine="555"/>
        <w:rPr>
          <w:rFonts w:ascii="仿宋_GB2312" w:eastAsia="仿宋_GB2312" w:hAnsi="宋体"/>
          <w:kern w:val="0"/>
          <w:sz w:val="28"/>
          <w:szCs w:val="28"/>
        </w:rPr>
      </w:pPr>
    </w:p>
    <w:p w:rsidR="00837573" w:rsidRDefault="00837573" w:rsidP="00837573">
      <w:pPr>
        <w:spacing w:line="440" w:lineRule="exact"/>
        <w:ind w:firstLine="555"/>
        <w:jc w:val="center"/>
        <w:rPr>
          <w:rFonts w:ascii="华文中宋" w:eastAsia="华文中宋" w:hAnsi="华文中宋"/>
          <w:b/>
          <w:kern w:val="0"/>
          <w:sz w:val="28"/>
          <w:szCs w:val="28"/>
        </w:rPr>
      </w:pPr>
      <w:r w:rsidRPr="00AF5C4E">
        <w:rPr>
          <w:rFonts w:ascii="华文中宋" w:eastAsia="华文中宋" w:hAnsi="华文中宋" w:hint="eastAsia"/>
          <w:b/>
          <w:kern w:val="0"/>
          <w:sz w:val="28"/>
          <w:szCs w:val="28"/>
        </w:rPr>
        <w:t>东方国际集团参会中非经贸博览会</w:t>
      </w:r>
    </w:p>
    <w:p w:rsidR="00837573" w:rsidRDefault="00837573" w:rsidP="00837573">
      <w:pPr>
        <w:spacing w:line="440" w:lineRule="exact"/>
        <w:ind w:firstLineChars="900" w:firstLine="2523"/>
        <w:rPr>
          <w:rFonts w:ascii="华文中宋" w:eastAsia="华文中宋" w:hAnsi="华文中宋"/>
          <w:b/>
          <w:kern w:val="0"/>
          <w:sz w:val="28"/>
          <w:szCs w:val="28"/>
        </w:rPr>
      </w:pPr>
      <w:r w:rsidRPr="00AF5C4E">
        <w:rPr>
          <w:rFonts w:ascii="华文中宋" w:eastAsia="华文中宋" w:hAnsi="华文中宋" w:hint="eastAsia"/>
          <w:b/>
          <w:kern w:val="0"/>
          <w:sz w:val="28"/>
          <w:szCs w:val="28"/>
        </w:rPr>
        <w:t>与科特迪瓦签订建设合作协议书</w:t>
      </w:r>
    </w:p>
    <w:p w:rsidR="00837573" w:rsidRPr="00AF5C4E" w:rsidRDefault="00837573" w:rsidP="00837573">
      <w:pPr>
        <w:spacing w:line="440" w:lineRule="exact"/>
        <w:ind w:firstLine="555"/>
        <w:jc w:val="center"/>
        <w:rPr>
          <w:rFonts w:ascii="华文中宋" w:eastAsia="华文中宋" w:hAnsi="华文中宋"/>
          <w:b/>
          <w:kern w:val="0"/>
          <w:sz w:val="28"/>
          <w:szCs w:val="28"/>
        </w:rPr>
      </w:pPr>
    </w:p>
    <w:p w:rsidR="00837573" w:rsidRPr="00AF5C4E" w:rsidRDefault="00837573" w:rsidP="00393224">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w:t>
      </w:r>
      <w:r w:rsidRPr="00AF5C4E">
        <w:rPr>
          <w:rFonts w:ascii="仿宋_GB2312" w:eastAsia="仿宋_GB2312" w:hAnsi="宋体" w:hint="eastAsia"/>
          <w:kern w:val="0"/>
          <w:sz w:val="28"/>
          <w:szCs w:val="28"/>
        </w:rPr>
        <w:t>日，第一届中国—非洲经贸</w:t>
      </w:r>
      <w:r>
        <w:rPr>
          <w:rFonts w:ascii="仿宋_GB2312" w:eastAsia="仿宋_GB2312" w:hAnsi="宋体" w:hint="eastAsia"/>
          <w:kern w:val="0"/>
          <w:sz w:val="28"/>
          <w:szCs w:val="28"/>
        </w:rPr>
        <w:t>博览会暨中非经贸合作论坛在湖南长沙举行。东方国际集团</w:t>
      </w:r>
      <w:r w:rsidRPr="00AF5C4E">
        <w:rPr>
          <w:rFonts w:ascii="仿宋_GB2312" w:eastAsia="仿宋_GB2312" w:hAnsi="宋体" w:hint="eastAsia"/>
          <w:kern w:val="0"/>
          <w:sz w:val="28"/>
          <w:szCs w:val="28"/>
        </w:rPr>
        <w:t>携贸易与国际化事业部、海外企业管</w:t>
      </w:r>
      <w:r>
        <w:rPr>
          <w:rFonts w:ascii="仿宋_GB2312" w:eastAsia="仿宋_GB2312" w:hAnsi="宋体" w:hint="eastAsia"/>
          <w:kern w:val="0"/>
          <w:sz w:val="28"/>
          <w:szCs w:val="28"/>
        </w:rPr>
        <w:t>理部、非洲公司、北方公司、龙头股份、新联纺、纺织原料等公司参会，其中</w:t>
      </w:r>
      <w:r w:rsidRPr="00AF5C4E">
        <w:rPr>
          <w:rFonts w:ascii="仿宋_GB2312" w:eastAsia="仿宋_GB2312" w:hAnsi="宋体" w:hint="eastAsia"/>
          <w:kern w:val="0"/>
          <w:sz w:val="28"/>
          <w:szCs w:val="28"/>
        </w:rPr>
        <w:t>龙头股份、新联纺在现场布置了展台，展示集团在中非投资贸易中的成果与产品。博览会上，集团与科特迪瓦签订建设纺织服装产业园区建设合作议定书，积极探索中非经贸合作新模式、新路径。本届中非经贸博览会以“合作共赢，务实推进中非经贸关系”为主题，共吸引了境内外参展商、采购商等</w:t>
      </w:r>
      <w:r w:rsidRPr="00AF5C4E">
        <w:rPr>
          <w:rFonts w:ascii="仿宋_GB2312" w:eastAsia="仿宋_GB2312" w:hAnsi="宋体"/>
          <w:kern w:val="0"/>
          <w:sz w:val="28"/>
          <w:szCs w:val="28"/>
        </w:rPr>
        <w:t>1</w:t>
      </w:r>
      <w:r w:rsidRPr="00AF5C4E">
        <w:rPr>
          <w:rFonts w:ascii="仿宋_GB2312" w:eastAsia="仿宋_GB2312" w:hAnsi="宋体" w:hint="eastAsia"/>
          <w:kern w:val="0"/>
          <w:sz w:val="28"/>
          <w:szCs w:val="28"/>
        </w:rPr>
        <w:t>万多人参加，</w:t>
      </w:r>
      <w:r w:rsidRPr="00AF5C4E">
        <w:rPr>
          <w:rFonts w:ascii="仿宋_GB2312" w:eastAsia="仿宋_GB2312" w:hAnsi="宋体"/>
          <w:kern w:val="0"/>
          <w:sz w:val="28"/>
          <w:szCs w:val="28"/>
        </w:rPr>
        <w:t>53</w:t>
      </w:r>
      <w:r w:rsidRPr="00AF5C4E">
        <w:rPr>
          <w:rFonts w:ascii="仿宋_GB2312" w:eastAsia="仿宋_GB2312" w:hAnsi="宋体" w:hint="eastAsia"/>
          <w:kern w:val="0"/>
          <w:sz w:val="28"/>
          <w:szCs w:val="28"/>
        </w:rPr>
        <w:t>个非洲国家以及联合国工发组织、世界贸易组织、非洲联盟等国际组织参会。会议期间，中国与非洲各国共签署了</w:t>
      </w:r>
      <w:r w:rsidRPr="00AF5C4E">
        <w:rPr>
          <w:rFonts w:ascii="仿宋_GB2312" w:eastAsia="仿宋_GB2312" w:hAnsi="宋体"/>
          <w:kern w:val="0"/>
          <w:sz w:val="28"/>
          <w:szCs w:val="28"/>
        </w:rPr>
        <w:t>84</w:t>
      </w:r>
      <w:r w:rsidRPr="00AF5C4E">
        <w:rPr>
          <w:rFonts w:ascii="仿宋_GB2312" w:eastAsia="仿宋_GB2312" w:hAnsi="宋体" w:hint="eastAsia"/>
          <w:kern w:val="0"/>
          <w:sz w:val="28"/>
          <w:szCs w:val="28"/>
        </w:rPr>
        <w:t>项合作文件，包括政府间合作协议、融资协议、投资协议等，涵盖贸易、投资、基础设施、农业、制造业等领域，涉及金额</w:t>
      </w:r>
      <w:r w:rsidRPr="00AF5C4E">
        <w:rPr>
          <w:rFonts w:ascii="仿宋_GB2312" w:eastAsia="仿宋_GB2312" w:hAnsi="宋体"/>
          <w:kern w:val="0"/>
          <w:sz w:val="28"/>
          <w:szCs w:val="28"/>
        </w:rPr>
        <w:t>208</w:t>
      </w:r>
      <w:r w:rsidRPr="00AF5C4E">
        <w:rPr>
          <w:rFonts w:ascii="仿宋_GB2312" w:eastAsia="仿宋_GB2312" w:hAnsi="宋体" w:hint="eastAsia"/>
          <w:kern w:val="0"/>
          <w:sz w:val="28"/>
          <w:szCs w:val="28"/>
        </w:rPr>
        <w:t>亿美金。</w:t>
      </w: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（东方国际）</w:t>
      </w:r>
    </w:p>
    <w:p w:rsidR="00837573" w:rsidRPr="00AF5C4E" w:rsidRDefault="00837573" w:rsidP="00837573">
      <w:pPr>
        <w:spacing w:line="440" w:lineRule="exact"/>
        <w:ind w:firstLine="555"/>
        <w:rPr>
          <w:rFonts w:ascii="仿宋_GB2312" w:eastAsia="仿宋_GB2312" w:hAnsi="宋体"/>
          <w:kern w:val="0"/>
          <w:sz w:val="28"/>
          <w:szCs w:val="28"/>
        </w:rPr>
      </w:pPr>
    </w:p>
    <w:p w:rsidR="00837573" w:rsidRDefault="00837573" w:rsidP="00837573">
      <w:pPr>
        <w:widowControl/>
        <w:spacing w:line="440" w:lineRule="exact"/>
        <w:jc w:val="center"/>
        <w:rPr>
          <w:rFonts w:ascii="华文中宋" w:eastAsia="华文中宋" w:hAnsi="华文中宋"/>
          <w:b/>
          <w:kern w:val="0"/>
          <w:sz w:val="28"/>
          <w:szCs w:val="28"/>
        </w:rPr>
      </w:pPr>
      <w:r w:rsidRPr="00F518B9">
        <w:rPr>
          <w:rFonts w:ascii="华文中宋" w:eastAsia="华文中宋" w:hAnsi="华文中宋" w:hint="eastAsia"/>
          <w:b/>
          <w:kern w:val="0"/>
          <w:sz w:val="28"/>
          <w:szCs w:val="28"/>
        </w:rPr>
        <w:t>上海国际集团下属上海国资经营</w:t>
      </w:r>
      <w:r w:rsidR="009C5023">
        <w:rPr>
          <w:rFonts w:ascii="华文中宋" w:eastAsia="华文中宋" w:hAnsi="华文中宋" w:hint="eastAsia"/>
          <w:b/>
          <w:kern w:val="0"/>
          <w:sz w:val="28"/>
          <w:szCs w:val="28"/>
        </w:rPr>
        <w:t>公司</w:t>
      </w:r>
      <w:r w:rsidRPr="00F518B9">
        <w:rPr>
          <w:rFonts w:ascii="华文中宋" w:eastAsia="华文中宋" w:hAnsi="华文中宋" w:hint="eastAsia"/>
          <w:b/>
          <w:kern w:val="0"/>
          <w:sz w:val="28"/>
          <w:szCs w:val="28"/>
        </w:rPr>
        <w:t>首次发行短期融资券</w:t>
      </w:r>
    </w:p>
    <w:p w:rsidR="00837573" w:rsidRDefault="00837573" w:rsidP="00837573">
      <w:pPr>
        <w:widowControl/>
        <w:spacing w:line="440" w:lineRule="exact"/>
        <w:jc w:val="center"/>
        <w:rPr>
          <w:rFonts w:ascii="华文中宋" w:eastAsia="华文中宋" w:hAnsi="华文中宋"/>
          <w:b/>
          <w:kern w:val="0"/>
          <w:sz w:val="28"/>
          <w:szCs w:val="28"/>
        </w:rPr>
      </w:pPr>
    </w:p>
    <w:p w:rsidR="00837573" w:rsidRPr="00F518B9" w:rsidRDefault="00837573" w:rsidP="00837573">
      <w:pPr>
        <w:widowControl/>
        <w:spacing w:line="440" w:lineRule="exact"/>
        <w:ind w:firstLine="570"/>
        <w:rPr>
          <w:rFonts w:ascii="仿宋_GB2312" w:eastAsia="仿宋_GB2312" w:hAnsi="宋体"/>
          <w:kern w:val="0"/>
          <w:sz w:val="28"/>
          <w:szCs w:val="28"/>
        </w:rPr>
      </w:pPr>
      <w:r>
        <w:rPr>
          <w:rFonts w:ascii="仿宋_GB2312" w:eastAsia="仿宋_GB2312" w:hAnsi="宋体" w:hint="eastAsia"/>
          <w:kern w:val="0"/>
          <w:sz w:val="28"/>
          <w:szCs w:val="28"/>
        </w:rPr>
        <w:t>日前</w:t>
      </w:r>
      <w:r w:rsidRPr="00F518B9">
        <w:rPr>
          <w:rFonts w:ascii="仿宋_GB2312" w:eastAsia="仿宋_GB2312" w:hAnsi="宋体" w:hint="eastAsia"/>
          <w:kern w:val="0"/>
          <w:sz w:val="28"/>
          <w:szCs w:val="28"/>
        </w:rPr>
        <w:t>，上海国际集团下属上海国有资产经营有限公司成功发行2019年第一期短期融资券“19沪国资CP001”。本期债券发行期限为1年，发行规模10亿元，共计吸引各类市场化资金30.5亿元，全场倍数3.05倍，最终票面利率3.26%，大幅低于现行同期限基准贷款利率，实现了债务结构优化和融资成本的有效节约。</w:t>
      </w:r>
    </w:p>
    <w:p w:rsidR="00837573" w:rsidRDefault="00837573" w:rsidP="00837573">
      <w:pPr>
        <w:widowControl/>
        <w:spacing w:line="440" w:lineRule="exact"/>
        <w:ind w:firstLine="555"/>
        <w:rPr>
          <w:rFonts w:ascii="仿宋_GB2312" w:eastAsia="仿宋_GB2312" w:hAnsi="宋体"/>
          <w:kern w:val="0"/>
          <w:sz w:val="28"/>
          <w:szCs w:val="28"/>
        </w:rPr>
      </w:pPr>
      <w:r w:rsidRPr="00F518B9">
        <w:rPr>
          <w:rFonts w:ascii="仿宋_GB2312" w:eastAsia="仿宋_GB2312" w:hAnsi="宋体" w:hint="eastAsia"/>
          <w:kern w:val="0"/>
          <w:sz w:val="28"/>
          <w:szCs w:val="28"/>
        </w:rPr>
        <w:t>本期债券是公司首次发行短期融资券，标志着公司在银行间债券市场和证券交易所市场成功实现全类别公募品种信用债发行。至此，公司</w:t>
      </w:r>
      <w:r w:rsidRPr="00F518B9">
        <w:rPr>
          <w:rFonts w:ascii="仿宋_GB2312" w:eastAsia="仿宋_GB2312" w:hAnsi="宋体"/>
          <w:kern w:val="0"/>
          <w:sz w:val="28"/>
          <w:szCs w:val="28"/>
        </w:rPr>
        <w:t>2019</w:t>
      </w:r>
      <w:r w:rsidRPr="00F518B9">
        <w:rPr>
          <w:rFonts w:ascii="仿宋_GB2312" w:eastAsia="仿宋_GB2312" w:hAnsi="宋体" w:hint="eastAsia"/>
          <w:kern w:val="0"/>
          <w:sz w:val="28"/>
          <w:szCs w:val="28"/>
        </w:rPr>
        <w:t>年上半年度通过发行债券进行直接融资的工作按计划全部顺利完成：发行债券累计募集资金</w:t>
      </w:r>
      <w:r w:rsidRPr="00F518B9">
        <w:rPr>
          <w:rFonts w:ascii="仿宋_GB2312" w:eastAsia="仿宋_GB2312" w:hAnsi="宋体"/>
          <w:kern w:val="0"/>
          <w:sz w:val="28"/>
          <w:szCs w:val="28"/>
        </w:rPr>
        <w:t>40</w:t>
      </w:r>
      <w:r w:rsidRPr="00F518B9">
        <w:rPr>
          <w:rFonts w:ascii="仿宋_GB2312" w:eastAsia="仿宋_GB2312" w:hAnsi="宋体" w:hint="eastAsia"/>
          <w:kern w:val="0"/>
          <w:sz w:val="28"/>
          <w:szCs w:val="28"/>
        </w:rPr>
        <w:t>亿元，涉及产品包括超短期融资券、短期融资券、中期票据和公开发</w:t>
      </w:r>
      <w:bookmarkStart w:id="0" w:name="_GoBack"/>
      <w:bookmarkEnd w:id="0"/>
      <w:r w:rsidRPr="00F518B9">
        <w:rPr>
          <w:rFonts w:ascii="仿宋_GB2312" w:eastAsia="仿宋_GB2312" w:hAnsi="宋体" w:hint="eastAsia"/>
          <w:kern w:val="0"/>
          <w:sz w:val="28"/>
          <w:szCs w:val="28"/>
        </w:rPr>
        <w:t>行公司债券，募集资金期限囊括了一年以内、一年期、三年期和五年期多个类型，加权平均年化综合融资成本</w:t>
      </w:r>
      <w:r w:rsidRPr="00F518B9">
        <w:rPr>
          <w:rFonts w:ascii="仿宋_GB2312" w:eastAsia="仿宋_GB2312" w:hAnsi="宋体"/>
          <w:kern w:val="0"/>
          <w:sz w:val="28"/>
          <w:szCs w:val="28"/>
        </w:rPr>
        <w:t>3.64%</w:t>
      </w:r>
      <w:r w:rsidRPr="00F518B9">
        <w:rPr>
          <w:rFonts w:ascii="仿宋_GB2312" w:eastAsia="仿宋_GB2312" w:hAnsi="宋体" w:hint="eastAsia"/>
          <w:kern w:val="0"/>
          <w:sz w:val="28"/>
          <w:szCs w:val="28"/>
        </w:rPr>
        <w:t>。</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（国际集团）</w:t>
      </w:r>
    </w:p>
    <w:p w:rsidR="00837573" w:rsidRDefault="00837573" w:rsidP="00837573">
      <w:pPr>
        <w:widowControl/>
        <w:spacing w:line="440" w:lineRule="exact"/>
        <w:ind w:firstLine="555"/>
        <w:rPr>
          <w:rFonts w:ascii="仿宋_GB2312" w:eastAsia="仿宋_GB2312" w:hAnsi="宋体"/>
          <w:kern w:val="0"/>
          <w:sz w:val="28"/>
          <w:szCs w:val="28"/>
        </w:rPr>
      </w:pPr>
    </w:p>
    <w:p w:rsidR="00837573" w:rsidRDefault="00837573" w:rsidP="00837573">
      <w:pPr>
        <w:widowControl/>
        <w:spacing w:line="440" w:lineRule="exact"/>
        <w:jc w:val="center"/>
        <w:rPr>
          <w:rFonts w:ascii="华文中宋" w:eastAsia="华文中宋" w:hAnsi="华文中宋"/>
          <w:b/>
          <w:kern w:val="0"/>
          <w:sz w:val="28"/>
          <w:szCs w:val="28"/>
        </w:rPr>
      </w:pPr>
      <w:r w:rsidRPr="00836794">
        <w:rPr>
          <w:rFonts w:ascii="华文中宋" w:eastAsia="华文中宋" w:hAnsi="华文中宋" w:hint="eastAsia"/>
          <w:b/>
          <w:kern w:val="0"/>
          <w:sz w:val="28"/>
          <w:szCs w:val="28"/>
        </w:rPr>
        <w:t>临港集团与国微集团签署战略合作协议</w:t>
      </w:r>
    </w:p>
    <w:p w:rsidR="00837573" w:rsidRDefault="00837573" w:rsidP="00837573">
      <w:pPr>
        <w:widowControl/>
        <w:spacing w:line="440" w:lineRule="exact"/>
        <w:jc w:val="center"/>
        <w:rPr>
          <w:rFonts w:ascii="华文中宋" w:eastAsia="华文中宋" w:hAnsi="华文中宋"/>
          <w:b/>
          <w:kern w:val="0"/>
          <w:sz w:val="28"/>
          <w:szCs w:val="28"/>
        </w:rPr>
      </w:pPr>
    </w:p>
    <w:p w:rsidR="00837573" w:rsidRDefault="00837573" w:rsidP="00837573">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w:t>
      </w:r>
      <w:r w:rsidRPr="007E259A">
        <w:rPr>
          <w:rFonts w:ascii="仿宋_GB2312" w:eastAsia="仿宋_GB2312" w:hAnsi="宋体" w:hint="eastAsia"/>
          <w:kern w:val="0"/>
          <w:sz w:val="28"/>
          <w:szCs w:val="28"/>
        </w:rPr>
        <w:t>日，临港集团与国微集团达成战略合作协议，双方将重点围绕“半导体产业生态链”、“芯片设计研究及人才培养”、“半导体产业基金”等领域，在临港地区构建半导体产业生态圈，打造服务于半导体产业生态链的芯片产业园。为落实双方合作，加快推进半导体产业的研发，国微集团将在临港集团下属临港创新创业带和临港康桥商务绿洲等园区进行多点布局，与临港集团共同推动国家“核高基”重大科技专项“芯片设计全流程EDA系统开发与应用”和集成电路研发设计专业园区等项目的实施，进一步提升我国在半导体产业领域的自主研发能力，突破国际垄断，为上海科创中心建设和国家半导体产业发展提供新动力。</w:t>
      </w:r>
      <w:r>
        <w:rPr>
          <w:rFonts w:ascii="仿宋_GB2312" w:eastAsia="仿宋_GB2312" w:hAnsi="宋体" w:hint="eastAsia"/>
          <w:kern w:val="0"/>
          <w:sz w:val="28"/>
          <w:szCs w:val="28"/>
        </w:rPr>
        <w:t xml:space="preserve">                   </w:t>
      </w:r>
      <w:r w:rsidR="0039322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（临港集团）</w:t>
      </w:r>
    </w:p>
    <w:p w:rsidR="00837573" w:rsidRDefault="00837573" w:rsidP="00837573">
      <w:pPr>
        <w:widowControl/>
        <w:spacing w:line="440" w:lineRule="exact"/>
        <w:rPr>
          <w:rFonts w:ascii="仿宋_GB2312" w:eastAsia="仿宋_GB2312" w:hAnsi="宋体"/>
          <w:kern w:val="0"/>
          <w:sz w:val="28"/>
          <w:szCs w:val="28"/>
        </w:rPr>
      </w:pPr>
    </w:p>
    <w:p w:rsidR="00837573" w:rsidRDefault="00837573" w:rsidP="00837573">
      <w:pPr>
        <w:widowControl/>
        <w:spacing w:line="440" w:lineRule="exact"/>
        <w:rPr>
          <w:rFonts w:ascii="仿宋_GB2312" w:eastAsia="仿宋_GB2312"/>
          <w:sz w:val="28"/>
          <w:szCs w:val="28"/>
        </w:rPr>
      </w:pPr>
      <w:r>
        <w:rPr>
          <w:rFonts w:ascii="楷体_GB2312" w:eastAsia="楷体_GB2312" w:hint="eastAsia"/>
          <w:b/>
          <w:sz w:val="32"/>
          <w:szCs w:val="32"/>
        </w:rPr>
        <w:t>简讯</w:t>
      </w:r>
    </w:p>
    <w:p w:rsidR="00837573" w:rsidRDefault="00837573" w:rsidP="00837573">
      <w:pPr>
        <w:spacing w:line="420" w:lineRule="exact"/>
        <w:ind w:left="420" w:rightChars="-42" w:right="-88"/>
        <w:rPr>
          <w:rFonts w:ascii="仿宋_GB2312" w:eastAsia="仿宋_GB2312"/>
          <w:sz w:val="28"/>
          <w:szCs w:val="28"/>
        </w:rPr>
      </w:pPr>
    </w:p>
    <w:p w:rsidR="00837573" w:rsidRDefault="00837573" w:rsidP="00837573">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836794">
        <w:rPr>
          <w:rFonts w:ascii="仿宋_GB2312" w:eastAsia="仿宋_GB2312" w:hAnsi="宋体" w:hint="eastAsia"/>
          <w:sz w:val="28"/>
          <w:szCs w:val="28"/>
        </w:rPr>
        <w:t>日,浦发银行</w:t>
      </w:r>
      <w:r>
        <w:rPr>
          <w:rFonts w:ascii="仿宋_GB2312" w:eastAsia="仿宋_GB2312" w:hAnsi="宋体" w:hint="eastAsia"/>
          <w:sz w:val="28"/>
          <w:szCs w:val="28"/>
        </w:rPr>
        <w:t>与山西潞安矿业集团在上海举行全面战略合作签约仪式，将在永续信托、供应链融资、产业链金融等方面加强合作，</w:t>
      </w:r>
      <w:r w:rsidRPr="00836794">
        <w:rPr>
          <w:rFonts w:ascii="仿宋_GB2312" w:eastAsia="仿宋_GB2312" w:hAnsi="宋体" w:hint="eastAsia"/>
          <w:sz w:val="28"/>
          <w:szCs w:val="28"/>
        </w:rPr>
        <w:t>标志着</w:t>
      </w:r>
      <w:r>
        <w:rPr>
          <w:rFonts w:ascii="仿宋_GB2312" w:eastAsia="仿宋_GB2312" w:hAnsi="宋体" w:hint="eastAsia"/>
          <w:sz w:val="28"/>
          <w:szCs w:val="28"/>
        </w:rPr>
        <w:t>双方</w:t>
      </w:r>
      <w:r w:rsidRPr="00836794">
        <w:rPr>
          <w:rFonts w:ascii="仿宋_GB2312" w:eastAsia="仿宋_GB2312" w:hAnsi="宋体" w:hint="eastAsia"/>
          <w:sz w:val="28"/>
          <w:szCs w:val="28"/>
        </w:rPr>
        <w:t>建立全方位战略合作，开启银企合作新篇章。</w:t>
      </w:r>
      <w:r>
        <w:rPr>
          <w:rFonts w:ascii="仿宋_GB2312" w:eastAsia="仿宋_GB2312" w:hAnsi="宋体" w:hint="eastAsia"/>
          <w:sz w:val="28"/>
          <w:szCs w:val="28"/>
        </w:rPr>
        <w:t>（浦发银行）</w:t>
      </w:r>
    </w:p>
    <w:p w:rsidR="00393224" w:rsidRDefault="00837573" w:rsidP="00837573">
      <w:pPr>
        <w:spacing w:line="400" w:lineRule="exact"/>
        <w:rPr>
          <w:rFonts w:ascii="仿宋_GB2312" w:eastAsia="仿宋_GB2312" w:hAnsi="宋体"/>
          <w:sz w:val="28"/>
          <w:szCs w:val="28"/>
        </w:rPr>
      </w:pPr>
      <w:r>
        <w:rPr>
          <w:rFonts w:ascii="仿宋_GB2312" w:eastAsia="仿宋_GB2312" w:hAnsi="宋体" w:hint="eastAsia"/>
          <w:sz w:val="28"/>
          <w:szCs w:val="28"/>
        </w:rPr>
        <w:t>▲</w:t>
      </w:r>
      <w:r w:rsidRPr="00836794">
        <w:rPr>
          <w:rFonts w:ascii="仿宋_GB2312" w:eastAsia="仿宋_GB2312" w:hAnsi="宋体" w:hint="eastAsia"/>
          <w:sz w:val="28"/>
          <w:szCs w:val="28"/>
        </w:rPr>
        <w:t>今年5月，上汽通用五菱印尼公司首次实现批售、零售双双突破2000辆，Almaz和全新Cortez在各自细分市场销量中均稳居第二名。</w:t>
      </w:r>
    </w:p>
    <w:p w:rsidR="00837573" w:rsidRDefault="00837573" w:rsidP="00837573">
      <w:pPr>
        <w:spacing w:line="400" w:lineRule="exact"/>
      </w:pPr>
      <w:r>
        <w:rPr>
          <w:rFonts w:ascii="仿宋_GB2312" w:eastAsia="仿宋_GB2312" w:hAnsi="宋体" w:hint="eastAsia"/>
          <w:sz w:val="28"/>
          <w:szCs w:val="28"/>
        </w:rPr>
        <w:t xml:space="preserve">                                </w:t>
      </w:r>
      <w:r w:rsidR="00393224">
        <w:rPr>
          <w:rFonts w:ascii="仿宋_GB2312" w:eastAsia="仿宋_GB2312" w:hAnsi="宋体" w:hint="eastAsia"/>
          <w:sz w:val="28"/>
          <w:szCs w:val="28"/>
        </w:rPr>
        <w:t xml:space="preserve">               </w:t>
      </w:r>
      <w:r>
        <w:rPr>
          <w:rFonts w:ascii="仿宋_GB2312" w:eastAsia="仿宋_GB2312" w:hAnsi="宋体" w:hint="eastAsia"/>
          <w:sz w:val="28"/>
          <w:szCs w:val="28"/>
        </w:rPr>
        <w:t xml:space="preserve">  （上汽集团）</w:t>
      </w:r>
    </w:p>
    <w:p w:rsidR="00B32E77" w:rsidRDefault="00B32E77"/>
    <w:sectPr w:rsidR="00B32E77" w:rsidSect="00364F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79" w:rsidRDefault="006C5F79" w:rsidP="00393224">
      <w:r>
        <w:separator/>
      </w:r>
    </w:p>
  </w:endnote>
  <w:endnote w:type="continuationSeparator" w:id="1">
    <w:p w:rsidR="006C5F79" w:rsidRDefault="006C5F79" w:rsidP="003932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79" w:rsidRDefault="006C5F79" w:rsidP="00393224">
      <w:r>
        <w:separator/>
      </w:r>
    </w:p>
  </w:footnote>
  <w:footnote w:type="continuationSeparator" w:id="1">
    <w:p w:rsidR="006C5F79" w:rsidRDefault="006C5F79" w:rsidP="00393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562"/>
        </w:tabs>
        <w:ind w:left="562" w:hanging="420"/>
      </w:pPr>
      <w:rPr>
        <w:rFonts w:ascii="Wingdings" w:hAnsi="Wingdings" w:hint="default"/>
      </w:rPr>
    </w:lvl>
    <w:lvl w:ilvl="1">
      <w:start w:val="1"/>
      <w:numFmt w:val="bullet"/>
      <w:lvlText w:val=""/>
      <w:lvlJc w:val="left"/>
      <w:pPr>
        <w:tabs>
          <w:tab w:val="num" w:pos="982"/>
        </w:tabs>
        <w:ind w:left="982" w:hanging="420"/>
      </w:pPr>
      <w:rPr>
        <w:rFonts w:ascii="Wingdings" w:hAnsi="Wingdings" w:hint="default"/>
      </w:rPr>
    </w:lvl>
    <w:lvl w:ilvl="2">
      <w:start w:val="1"/>
      <w:numFmt w:val="bullet"/>
      <w:lvlText w:val=""/>
      <w:lvlJc w:val="left"/>
      <w:pPr>
        <w:tabs>
          <w:tab w:val="num" w:pos="1402"/>
        </w:tabs>
        <w:ind w:left="1402" w:hanging="420"/>
      </w:pPr>
      <w:rPr>
        <w:rFonts w:ascii="Wingdings" w:hAnsi="Wingdings" w:hint="default"/>
      </w:rPr>
    </w:lvl>
    <w:lvl w:ilvl="3">
      <w:start w:val="1"/>
      <w:numFmt w:val="bullet"/>
      <w:lvlText w:val=""/>
      <w:lvlJc w:val="left"/>
      <w:pPr>
        <w:tabs>
          <w:tab w:val="num" w:pos="1822"/>
        </w:tabs>
        <w:ind w:left="1822" w:hanging="420"/>
      </w:pPr>
      <w:rPr>
        <w:rFonts w:ascii="Wingdings" w:hAnsi="Wingdings" w:hint="default"/>
      </w:rPr>
    </w:lvl>
    <w:lvl w:ilvl="4">
      <w:start w:val="1"/>
      <w:numFmt w:val="bullet"/>
      <w:lvlText w:val=""/>
      <w:lvlJc w:val="left"/>
      <w:pPr>
        <w:tabs>
          <w:tab w:val="num" w:pos="2242"/>
        </w:tabs>
        <w:ind w:left="2242" w:hanging="420"/>
      </w:pPr>
      <w:rPr>
        <w:rFonts w:ascii="Wingdings" w:hAnsi="Wingdings" w:hint="default"/>
      </w:rPr>
    </w:lvl>
    <w:lvl w:ilvl="5">
      <w:start w:val="1"/>
      <w:numFmt w:val="bullet"/>
      <w:lvlText w:val=""/>
      <w:lvlJc w:val="left"/>
      <w:pPr>
        <w:tabs>
          <w:tab w:val="num" w:pos="2662"/>
        </w:tabs>
        <w:ind w:left="2662" w:hanging="420"/>
      </w:pPr>
      <w:rPr>
        <w:rFonts w:ascii="Wingdings" w:hAnsi="Wingdings" w:hint="default"/>
      </w:rPr>
    </w:lvl>
    <w:lvl w:ilvl="6">
      <w:start w:val="1"/>
      <w:numFmt w:val="bullet"/>
      <w:lvlText w:val=""/>
      <w:lvlJc w:val="left"/>
      <w:pPr>
        <w:tabs>
          <w:tab w:val="num" w:pos="3082"/>
        </w:tabs>
        <w:ind w:left="3082" w:hanging="420"/>
      </w:pPr>
      <w:rPr>
        <w:rFonts w:ascii="Wingdings" w:hAnsi="Wingdings" w:hint="default"/>
      </w:rPr>
    </w:lvl>
    <w:lvl w:ilvl="7">
      <w:start w:val="1"/>
      <w:numFmt w:val="bullet"/>
      <w:lvlText w:val=""/>
      <w:lvlJc w:val="left"/>
      <w:pPr>
        <w:tabs>
          <w:tab w:val="num" w:pos="3502"/>
        </w:tabs>
        <w:ind w:left="3502" w:hanging="420"/>
      </w:pPr>
      <w:rPr>
        <w:rFonts w:ascii="Wingdings" w:hAnsi="Wingdings" w:hint="default"/>
      </w:rPr>
    </w:lvl>
    <w:lvl w:ilvl="8">
      <w:start w:val="1"/>
      <w:numFmt w:val="bullet"/>
      <w:lvlText w:val=""/>
      <w:lvlJc w:val="left"/>
      <w:pPr>
        <w:tabs>
          <w:tab w:val="num" w:pos="3922"/>
        </w:tabs>
        <w:ind w:left="392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573"/>
    <w:rsid w:val="002E12B3"/>
    <w:rsid w:val="00393224"/>
    <w:rsid w:val="00427B23"/>
    <w:rsid w:val="00536057"/>
    <w:rsid w:val="006C5F79"/>
    <w:rsid w:val="00837573"/>
    <w:rsid w:val="008E125A"/>
    <w:rsid w:val="009C5023"/>
    <w:rsid w:val="00A07D1D"/>
    <w:rsid w:val="00B32E77"/>
    <w:rsid w:val="00C36FAD"/>
    <w:rsid w:val="00EF1A0C"/>
    <w:rsid w:val="00F50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3224"/>
    <w:rPr>
      <w:rFonts w:ascii="Times New Roman" w:eastAsia="宋体" w:hAnsi="Times New Roman" w:cs="Times New Roman"/>
      <w:sz w:val="18"/>
      <w:szCs w:val="18"/>
    </w:rPr>
  </w:style>
  <w:style w:type="paragraph" w:styleId="a4">
    <w:name w:val="footer"/>
    <w:basedOn w:val="a"/>
    <w:link w:val="Char0"/>
    <w:uiPriority w:val="99"/>
    <w:semiHidden/>
    <w:unhideWhenUsed/>
    <w:rsid w:val="003932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32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628</Words>
  <Characters>3580</Characters>
  <Application>Microsoft Office Word</Application>
  <DocSecurity>0</DocSecurity>
  <Lines>29</Lines>
  <Paragraphs>8</Paragraphs>
  <ScaleCrop>false</ScaleCrop>
  <Company>Microsoft</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刘彬</cp:lastModifiedBy>
  <cp:revision>7</cp:revision>
  <cp:lastPrinted>2019-07-10T02:27:00Z</cp:lastPrinted>
  <dcterms:created xsi:type="dcterms:W3CDTF">2019-07-09T14:44:00Z</dcterms:created>
  <dcterms:modified xsi:type="dcterms:W3CDTF">2019-07-10T02:56:00Z</dcterms:modified>
</cp:coreProperties>
</file>