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40</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19"/>
          <w:w w:val="94"/>
          <w:kern w:val="0"/>
          <w:sz w:val="28"/>
          <w:fitText w:val="5040" w:id="821768491"/>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bookmarkStart w:id="0" w:name="_GoBack"/>
      <w:bookmarkEnd w:id="0"/>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12</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14</w:t>
      </w:r>
      <w:r>
        <w:rPr>
          <w:rFonts w:hint="eastAsia" w:ascii="楷体_GB2312" w:eastAsia="楷体_GB2312"/>
          <w:spacing w:val="-14"/>
          <w:sz w:val="28"/>
          <w:u w:val="single" w:color="FF0000"/>
        </w:rPr>
        <w:t xml:space="preserve">日 </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党的建设</w:t>
      </w: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上海市国资委系统沪外企业党建联建</w:t>
      </w:r>
    </w:p>
    <w:p>
      <w:pPr>
        <w:widowControl w:val="0"/>
        <w:spacing w:after="163" w:afterLines="50"/>
        <w:jc w:val="center"/>
        <w:rPr>
          <w:rFonts w:ascii="华文中宋" w:hAnsi="华文中宋" w:eastAsia="华文中宋"/>
          <w:bCs/>
          <w:sz w:val="36"/>
          <w:szCs w:val="36"/>
        </w:rPr>
      </w:pPr>
      <w:r>
        <w:rPr>
          <w:rFonts w:ascii="华文中宋" w:hAnsi="华文中宋" w:eastAsia="华文中宋"/>
          <w:bCs/>
          <w:sz w:val="36"/>
          <w:szCs w:val="36"/>
        </w:rPr>
        <w:t>视频签约仪式举行</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，上海市国资委党委以视频电视电话会议方式举行在哈尔滨、长春、沈阳、呼和浩特、乌鲁木齐、南宁等六地沪外企业党建联建签约仪式</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进一步探索国资沪外企业党建联建，推动上海国企基层党建全覆盖、高质量创新发展。</w:t>
      </w:r>
    </w:p>
    <w:p>
      <w:pPr>
        <w:pStyle w:val="6"/>
        <w:spacing w:beforeAutospacing="0" w:afterAutospacing="0"/>
        <w:ind w:firstLine="640" w:firstLineChars="200"/>
        <w:jc w:val="both"/>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sz w:val="32"/>
          <w:szCs w:val="32"/>
          <w:shd w:val="clear" w:color="auto" w:fill="FFFFFF"/>
        </w:rPr>
        <w:t>会议</w:t>
      </w:r>
      <w:r>
        <w:rPr>
          <w:rFonts w:ascii="Times New Roman" w:hAnsi="Times New Roman" w:eastAsia="仿宋_GB2312" w:cs="仿宋_GB2312"/>
          <w:sz w:val="32"/>
          <w:szCs w:val="32"/>
          <w:shd w:val="clear" w:color="auto" w:fill="FFFFFF"/>
        </w:rPr>
        <w:t>指出，开展区域党建联建，是落实新时代党的建设总要求和全面提升基层</w:t>
      </w:r>
      <w:r>
        <w:rPr>
          <w:rFonts w:ascii="Times New Roman" w:hAnsi="Times New Roman" w:eastAsia="仿宋_GB2312" w:cs="仿宋_GB2312"/>
          <w:color w:val="auto"/>
          <w:sz w:val="32"/>
          <w:szCs w:val="32"/>
          <w:shd w:val="clear" w:color="auto" w:fill="FFFFFF"/>
        </w:rPr>
        <w:t>组织力的创新举措，是推动国有企业基层党建全覆盖的有力抓手，也是顺应系统“走出去”战略发展的客观需要。希望沪外企业要进一步持续拓展党建联建的内涵和外延</w:t>
      </w:r>
      <w:r>
        <w:rPr>
          <w:rFonts w:hint="eastAsia" w:ascii="Times New Roman" w:hAnsi="Times New Roman" w:eastAsia="仿宋_GB2312" w:cs="仿宋_GB2312"/>
          <w:color w:val="auto"/>
          <w:sz w:val="32"/>
          <w:szCs w:val="32"/>
          <w:shd w:val="clear" w:color="auto" w:fill="FFFFFF"/>
        </w:rPr>
        <w:t>，</w:t>
      </w:r>
      <w:r>
        <w:rPr>
          <w:rFonts w:ascii="Times New Roman" w:hAnsi="Times New Roman" w:eastAsia="仿宋_GB2312" w:cs="仿宋_GB2312"/>
          <w:color w:val="auto"/>
          <w:sz w:val="32"/>
          <w:szCs w:val="32"/>
          <w:shd w:val="clear" w:color="auto" w:fill="FFFFFF"/>
        </w:rPr>
        <w:t>在强化党的领导上再提升</w:t>
      </w:r>
      <w:r>
        <w:rPr>
          <w:rFonts w:hint="eastAsia" w:ascii="Times New Roman" w:hAnsi="Times New Roman" w:eastAsia="仿宋_GB2312" w:cs="仿宋_GB2312"/>
          <w:color w:val="auto"/>
          <w:sz w:val="32"/>
          <w:szCs w:val="32"/>
          <w:shd w:val="clear" w:color="auto" w:fill="FFFFFF"/>
        </w:rPr>
        <w:t>、</w:t>
      </w:r>
      <w:r>
        <w:rPr>
          <w:rFonts w:ascii="Times New Roman" w:hAnsi="Times New Roman" w:eastAsia="仿宋_GB2312" w:cs="仿宋_GB2312"/>
          <w:color w:val="auto"/>
          <w:sz w:val="32"/>
          <w:szCs w:val="32"/>
          <w:shd w:val="clear" w:color="auto" w:fill="FFFFFF"/>
        </w:rPr>
        <w:t>在勇于开拓市场上再提升</w:t>
      </w:r>
      <w:r>
        <w:rPr>
          <w:rFonts w:hint="eastAsia" w:ascii="Times New Roman" w:hAnsi="Times New Roman" w:eastAsia="仿宋_GB2312" w:cs="仿宋_GB2312"/>
          <w:color w:val="auto"/>
          <w:sz w:val="32"/>
          <w:szCs w:val="32"/>
          <w:shd w:val="clear" w:color="auto" w:fill="FFFFFF"/>
        </w:rPr>
        <w:t>、</w:t>
      </w:r>
      <w:r>
        <w:rPr>
          <w:rFonts w:ascii="Times New Roman" w:hAnsi="Times New Roman" w:eastAsia="仿宋_GB2312" w:cs="仿宋_GB2312"/>
          <w:color w:val="auto"/>
          <w:sz w:val="32"/>
          <w:szCs w:val="32"/>
          <w:shd w:val="clear" w:color="auto" w:fill="FFFFFF"/>
        </w:rPr>
        <w:t>在激发改革活力上再提升</w:t>
      </w:r>
      <w:r>
        <w:rPr>
          <w:rFonts w:hint="eastAsia" w:ascii="Times New Roman" w:hAnsi="Times New Roman" w:eastAsia="仿宋_GB2312" w:cs="仿宋_GB2312"/>
          <w:color w:val="auto"/>
          <w:sz w:val="32"/>
          <w:szCs w:val="32"/>
          <w:shd w:val="clear" w:color="auto" w:fill="FFFFFF"/>
        </w:rPr>
        <w:t>、</w:t>
      </w:r>
      <w:r>
        <w:rPr>
          <w:rFonts w:ascii="Times New Roman" w:hAnsi="Times New Roman" w:eastAsia="仿宋_GB2312" w:cs="仿宋_GB2312"/>
          <w:color w:val="auto"/>
          <w:sz w:val="32"/>
          <w:szCs w:val="32"/>
          <w:shd w:val="clear" w:color="auto" w:fill="FFFFFF"/>
        </w:rPr>
        <w:t>在落实党建责任上再提升</w:t>
      </w:r>
      <w:r>
        <w:rPr>
          <w:rFonts w:hint="eastAsia" w:ascii="Times New Roman" w:hAnsi="Times New Roman" w:eastAsia="仿宋_GB2312" w:cs="仿宋_GB2312"/>
          <w:color w:val="auto"/>
          <w:sz w:val="32"/>
          <w:szCs w:val="32"/>
          <w:shd w:val="clear" w:color="auto" w:fill="FFFFFF"/>
        </w:rPr>
        <w:t>、</w:t>
      </w:r>
      <w:r>
        <w:rPr>
          <w:rFonts w:ascii="Times New Roman" w:hAnsi="Times New Roman" w:eastAsia="仿宋_GB2312" w:cs="仿宋_GB2312"/>
          <w:color w:val="auto"/>
          <w:sz w:val="32"/>
          <w:szCs w:val="32"/>
          <w:shd w:val="clear" w:color="auto" w:fill="FFFFFF"/>
        </w:rPr>
        <w:t>在树立上海国企品牌形象上再提升。</w:t>
      </w:r>
    </w:p>
    <w:p>
      <w:pPr>
        <w:pStyle w:val="6"/>
        <w:spacing w:beforeAutospacing="0" w:afterAutospacing="0"/>
        <w:ind w:firstLine="640" w:firstLineChars="200"/>
        <w:jc w:val="both"/>
        <w:rPr>
          <w:rFonts w:ascii="Times New Roman" w:hAnsi="Times New Roman" w:eastAsia="仿宋_GB2312" w:cs="仿宋_GB2312"/>
          <w:color w:val="auto"/>
          <w:sz w:val="32"/>
          <w:szCs w:val="32"/>
          <w:shd w:val="clear" w:color="auto" w:fill="FFFFFF"/>
        </w:rPr>
      </w:pPr>
      <w:r>
        <w:rPr>
          <w:rFonts w:ascii="Times New Roman" w:hAnsi="Times New Roman" w:eastAsia="仿宋_GB2312" w:cs="仿宋_GB2312"/>
          <w:color w:val="auto"/>
          <w:sz w:val="32"/>
          <w:szCs w:val="32"/>
          <w:shd w:val="clear" w:color="auto" w:fill="FFFFFF"/>
        </w:rPr>
        <w:t>自2018年起，市国资委党委在深入调研的基础上，先后在南京、南昌、成都、昆明等沪外企业较为集中的城市建立企业党建联席会，探索实施轮值主席制度。目前，已在36个全国主要城市组织开展了沪外党建联建工作，基本实现了在系统沪外企业比较集中的城市开展区域化党建工作的全覆盖。</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color w:val="auto"/>
          <w:sz w:val="32"/>
          <w:szCs w:val="32"/>
          <w:shd w:val="clear" w:color="auto" w:fill="FFFFFF"/>
        </w:rPr>
        <w:t>首轮新增加的六地企业党建联建轮值主席单位，分别由中国太保产险黑龙江分公司党委、浦发银行长春分行党委、上汽通用（沈阳）北盛汽车有限公司党委、中国太保产险</w:t>
      </w:r>
      <w:r>
        <w:rPr>
          <w:rFonts w:ascii="Times New Roman" w:hAnsi="Times New Roman" w:eastAsia="仿宋_GB2312" w:cs="仿宋_GB2312"/>
          <w:sz w:val="32"/>
          <w:szCs w:val="32"/>
          <w:shd w:val="clear" w:color="auto" w:fill="FFFFFF"/>
        </w:rPr>
        <w:t>内蒙古分公司党委、浦发银行乌鲁木齐分行党委、浦发银行南宁分行党委担任。各地企业党组织负责人积极响应倡议，共同签署了党建联建协议书。</w:t>
      </w:r>
      <w:r>
        <w:rPr>
          <w:rFonts w:hint="eastAsia" w:ascii="Times New Roman" w:hAnsi="Times New Roman" w:eastAsia="仿宋_GB2312" w:cs="仿宋_GB2312"/>
          <w:sz w:val="32"/>
          <w:szCs w:val="32"/>
          <w:shd w:val="clear" w:color="auto" w:fill="FFFFFF"/>
        </w:rPr>
        <w:t>（上海市国资委）</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上海银行AI债券交易员亮相银行间市场</w:t>
      </w:r>
    </w:p>
    <w:p>
      <w:pPr>
        <w:pStyle w:val="6"/>
        <w:spacing w:beforeAutospacing="0" w:afterAutospacing="0"/>
        <w:ind w:firstLine="640" w:firstLineChars="200"/>
        <w:jc w:val="both"/>
        <w:rPr>
          <w:rFonts w:ascii="Times New Roman" w:hAnsi="Times New Roman" w:eastAsia="仿宋_GB2312" w:cs="仿宋_GB2312"/>
          <w:color w:val="auto"/>
          <w:sz w:val="32"/>
          <w:szCs w:val="32"/>
          <w:shd w:val="clear" w:color="auto" w:fill="FFFFFF"/>
        </w:rPr>
      </w:pPr>
      <w:r>
        <w:rPr>
          <w:rFonts w:ascii="Times New Roman" w:hAnsi="Times New Roman" w:eastAsia="仿宋_GB2312" w:cs="仿宋_GB2312"/>
          <w:sz w:val="32"/>
          <w:szCs w:val="32"/>
          <w:shd w:val="clear" w:color="auto" w:fill="FFFFFF"/>
        </w:rPr>
        <w:t>近日，上海银行债券AI交易员正式亮相银行间市场。上线首日，AI债券交易员与华泰证券、杭州银行、东海证券达成交易，</w:t>
      </w:r>
      <w:r>
        <w:rPr>
          <w:rFonts w:ascii="Times New Roman" w:hAnsi="Times New Roman" w:eastAsia="仿宋_GB2312" w:cs="仿宋_GB2312"/>
          <w:color w:val="auto"/>
          <w:sz w:val="32"/>
          <w:szCs w:val="32"/>
          <w:shd w:val="clear" w:color="auto" w:fill="FFFFFF"/>
        </w:rPr>
        <w:t>交易量累计1.8亿元人民币。</w:t>
      </w:r>
    </w:p>
    <w:p>
      <w:pPr>
        <w:pStyle w:val="6"/>
        <w:spacing w:beforeAutospacing="0" w:afterAutospacing="0"/>
        <w:ind w:firstLine="640" w:firstLineChars="200"/>
        <w:jc w:val="both"/>
        <w:rPr>
          <w:rFonts w:ascii="Times New Roman" w:hAnsi="Times New Roman" w:eastAsia="仿宋_GB2312" w:cs="仿宋_GB2312"/>
          <w:color w:val="auto"/>
          <w:sz w:val="32"/>
          <w:szCs w:val="32"/>
          <w:shd w:val="clear" w:color="auto" w:fill="FFFFFF"/>
        </w:rPr>
      </w:pPr>
      <w:r>
        <w:rPr>
          <w:rFonts w:ascii="Times New Roman" w:hAnsi="Times New Roman" w:eastAsia="仿宋_GB2312" w:cs="仿宋_GB2312"/>
          <w:color w:val="auto"/>
          <w:sz w:val="32"/>
          <w:szCs w:val="32"/>
          <w:shd w:val="clear" w:color="auto" w:fill="FFFFFF"/>
        </w:rPr>
        <w:t>2021年上海银行与中国外汇交易中心探索智能化领域的合作，依托上海银行会话式人工智能服务平台搭建债券询报价语义库，联动上海银行智能量化交易平台与交易中心即时询价通讯平台（IDEAL），搭建首个银行间债券AI交易员，实现即时通讯平台的智能应答、程序化报价以及交易后的自动发单功能。</w:t>
      </w:r>
    </w:p>
    <w:p>
      <w:pPr>
        <w:pStyle w:val="6"/>
        <w:spacing w:beforeAutospacing="0" w:afterAutospacing="0"/>
        <w:ind w:firstLine="640" w:firstLineChars="200"/>
        <w:jc w:val="both"/>
        <w:rPr>
          <w:rFonts w:ascii="Times New Roman" w:hAnsi="Times New Roman" w:eastAsia="仿宋_GB2312" w:cs="仿宋_GB2312"/>
          <w:color w:val="auto"/>
          <w:sz w:val="32"/>
          <w:szCs w:val="32"/>
          <w:shd w:val="clear" w:color="auto" w:fill="FFFFFF"/>
        </w:rPr>
      </w:pPr>
      <w:r>
        <w:rPr>
          <w:rFonts w:ascii="Times New Roman" w:hAnsi="Times New Roman" w:eastAsia="仿宋_GB2312" w:cs="仿宋_GB2312"/>
          <w:color w:val="auto"/>
          <w:sz w:val="32"/>
          <w:szCs w:val="32"/>
          <w:shd w:val="clear" w:color="auto" w:fill="FFFFFF"/>
        </w:rPr>
        <w:t>上海银行AI交易员项目综合运用自然语言处理（NLP）、命名实体识别（NER）、机器学习等人工智能技术，对询价文本进行智能语义识别，并基于固定收益智能交易系统实现债券自动报价，自动发单。通过交易前风险控制、交易中智能处理和交易后自动发单等全流程管理，覆盖债券做市交易业务重要场景，拓宽上海银行做市广度，提升做市报价效率。</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color w:val="auto"/>
          <w:sz w:val="32"/>
          <w:szCs w:val="32"/>
          <w:shd w:val="clear" w:color="auto" w:fill="FFFFFF"/>
        </w:rPr>
        <w:t>未来，上海银行将继续与外汇交易中心合作，通过建设利率互换AI交易员进一步推进本币业务的智能化进程，同时向外延伸至外汇市场AI交易员做市业务，推进FICC</w:t>
      </w:r>
      <w:r>
        <w:rPr>
          <w:rFonts w:hint="eastAsia" w:ascii="Times New Roman" w:hAnsi="Times New Roman" w:eastAsia="仿宋_GB2312" w:cs="仿宋_GB2312"/>
          <w:color w:val="auto"/>
          <w:sz w:val="32"/>
          <w:szCs w:val="32"/>
          <w:shd w:val="clear" w:color="auto" w:fill="FFFFFF"/>
          <w:lang w:eastAsia="zh-CN"/>
        </w:rPr>
        <w:t>（</w:t>
      </w:r>
      <w:r>
        <w:rPr>
          <w:rFonts w:ascii="Times New Roman" w:hAnsi="Times New Roman" w:eastAsia="仿宋_GB2312" w:cs="仿宋_GB2312"/>
          <w:color w:val="auto"/>
          <w:sz w:val="32"/>
          <w:szCs w:val="32"/>
          <w:shd w:val="clear" w:color="auto" w:fill="FFFFFF"/>
          <w:lang w:val="en-US" w:eastAsia="zh-CN"/>
        </w:rPr>
        <w:t>固定收益证券、</w:t>
      </w:r>
      <w:r>
        <w:rPr>
          <w:rFonts w:ascii="Times New Roman" w:hAnsi="Times New Roman" w:eastAsia="仿宋_GB2312" w:cs="仿宋_GB2312"/>
          <w:sz w:val="32"/>
          <w:szCs w:val="32"/>
          <w:shd w:val="clear" w:color="auto" w:fill="FFFFFF"/>
          <w:lang w:val="en-US" w:eastAsia="zh-CN"/>
        </w:rPr>
        <w:t>货币及商品期货</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业务智能化达到新高度。</w:t>
      </w:r>
      <w:r>
        <w:rPr>
          <w:rFonts w:hint="eastAsia" w:ascii="Times New Roman" w:hAnsi="Times New Roman" w:eastAsia="仿宋_GB2312" w:cs="仿宋_GB2312"/>
          <w:sz w:val="32"/>
          <w:szCs w:val="32"/>
          <w:shd w:val="clear" w:color="auto" w:fill="FFFFFF"/>
        </w:rPr>
        <w:t>（上海银行）</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积极布局大湾区 中国太保寿险香港公司正式成立</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，中国太保寿险香港公司成立典礼在香港、上海两地同步举行。中国太保寿险正式宣布登陆香港，从事长期人寿保险和长期健康险业务。</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年来，中国太保积极服务对外开放大局、融入国际市场、推进粤港澳大湾区战略布局，推动自身高质量发展，并于今年制定了《中国太保粤港澳大湾区建设专项工作三年行动方案（2021-2023）》，致力于将大湾区建设成为公司高质量发展的新增长极。</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中国太保寿险将借鉴香港地区成熟保险市场先进经验，以“成为客户体验最佳的香港人寿保险公司”为愿景，打造香港公司在高品质的健康保障、财富管理和退休养老产品及服务方面竞争优势，为内地和香港客户提供 “责任、智慧、温度”的太保服务。同时，协同内地、香港两地资源，创新升级产品服务，构建健康、养老、财富管理多元化的服务体系。</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目前，</w:t>
      </w:r>
      <w:r>
        <w:rPr>
          <w:rFonts w:ascii="Times New Roman" w:hAnsi="Times New Roman" w:eastAsia="仿宋_GB2312" w:cs="仿宋_GB2312"/>
          <w:sz w:val="32"/>
          <w:szCs w:val="32"/>
          <w:shd w:val="clear" w:color="auto" w:fill="FFFFFF"/>
        </w:rPr>
        <w:t>中国太保正在积极推进大健康战略，广慈太保互联网医院是上海首家成功获批的非公立互联网医院，为客户提供高科技远程诊治。此外，中国太保打造的家庭医生服务品牌“太医管家”，探索打通“医、药、险”闭环的有效路径。在退休养老方面，打造“太保家园”优质养老社区，专注提供高质量的养老服务，为客户提供全方位的养老方案。</w:t>
      </w:r>
      <w:r>
        <w:rPr>
          <w:rFonts w:hint="eastAsia" w:ascii="Times New Roman" w:hAnsi="Times New Roman" w:eastAsia="仿宋_GB2312" w:cs="仿宋_GB2312"/>
          <w:sz w:val="32"/>
          <w:szCs w:val="32"/>
          <w:shd w:val="clear" w:color="auto" w:fill="FFFFFF"/>
        </w:rPr>
        <w:t>（中国太保）</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上海农商银行创新绿色金融服务模式</w:t>
      </w:r>
    </w:p>
    <w:p>
      <w:pPr>
        <w:widowControl w:val="0"/>
        <w:spacing w:after="163" w:afterLines="50"/>
        <w:jc w:val="center"/>
        <w:rPr>
          <w:rFonts w:ascii="华文中宋" w:hAnsi="华文中宋" w:eastAsia="华文中宋"/>
          <w:bCs/>
          <w:sz w:val="36"/>
          <w:szCs w:val="36"/>
        </w:rPr>
      </w:pPr>
      <w:r>
        <w:rPr>
          <w:rFonts w:ascii="华文中宋" w:hAnsi="华文中宋" w:eastAsia="华文中宋"/>
          <w:bCs/>
          <w:sz w:val="36"/>
          <w:szCs w:val="36"/>
        </w:rPr>
        <w:t>发放国内首笔CCER未来收益权质押贷款</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日前，上海农商银行</w:t>
      </w:r>
      <w:r>
        <w:rPr>
          <w:rFonts w:hint="eastAsia" w:ascii="Times New Roman" w:hAnsi="Times New Roman" w:eastAsia="仿宋_GB2312" w:cs="仿宋_GB2312"/>
          <w:sz w:val="32"/>
          <w:szCs w:val="32"/>
          <w:shd w:val="clear" w:color="auto" w:fill="FFFFFF"/>
          <w:lang w:eastAsia="zh-CN"/>
        </w:rPr>
        <w:t>创新</w:t>
      </w:r>
      <w:r>
        <w:rPr>
          <w:rFonts w:ascii="Times New Roman" w:hAnsi="Times New Roman" w:eastAsia="仿宋_GB2312" w:cs="仿宋_GB2312"/>
          <w:sz w:val="32"/>
          <w:szCs w:val="32"/>
          <w:shd w:val="clear" w:color="auto" w:fill="FFFFFF"/>
        </w:rPr>
        <w:t>贷款思路，向晶科电力科技股份有限公司（以下简称“晶科科技”）发放了国内首单CCER（中国核证自愿减排量）未来收益权质押贷款。基于CCER在全国碳市场的交易价格，上海农商银行通过质押CCER项目对应的未来收益权，为晶科科技提供流动资金贷款，用于企业日常经营周转。</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今年2月上海环境能源交易所修订发布的《协助办理CCER质押业务操作规程》基础上，上海农商银行编订了CCER未来收益权价值评估及质押操作的相关制度，将CCER未来收益权纳入银行押品范围，使其成为一种全新的担保资源，有效地盘活了企业的碳资产，为降低碳排放赋予了更多价值，同时推动了双碳目标的达成。</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未来，上海农商银行将继续探索绿色金融服务的新思路、新模式、新方法，把绿色金融做得有特色、有市场、有效果，为长三角乃至全国贡献力量。</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上海农商银行</w:t>
      </w:r>
      <w:r>
        <w:rPr>
          <w:rFonts w:hint="eastAsia" w:ascii="Times New Roman" w:hAnsi="Times New Roman" w:eastAsia="仿宋_GB2312" w:cs="仿宋_GB2312"/>
          <w:sz w:val="32"/>
          <w:szCs w:val="32"/>
          <w:shd w:val="clear" w:color="auto" w:fill="FFFFFF"/>
        </w:rPr>
        <w:t>）</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申能集团东方证券公募基金投资顾问业务正式发布</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近日，申能集团</w:t>
      </w:r>
      <w:r>
        <w:rPr>
          <w:rFonts w:hint="eastAsia" w:ascii="Times New Roman" w:hAnsi="Times New Roman" w:eastAsia="仿宋_GB2312" w:cs="仿宋_GB2312"/>
          <w:sz w:val="32"/>
          <w:szCs w:val="32"/>
          <w:shd w:val="clear" w:color="auto" w:fill="FFFFFF"/>
          <w:lang w:eastAsia="zh-CN"/>
        </w:rPr>
        <w:t>下属</w:t>
      </w:r>
      <w:r>
        <w:rPr>
          <w:rFonts w:ascii="Times New Roman" w:hAnsi="Times New Roman" w:eastAsia="仿宋_GB2312" w:cs="仿宋_GB2312"/>
          <w:sz w:val="32"/>
          <w:szCs w:val="32"/>
          <w:shd w:val="clear" w:color="auto" w:fill="FFFFFF"/>
        </w:rPr>
        <w:t>东方证券公募基金投资顾问业务正式发布，</w:t>
      </w:r>
      <w:r>
        <w:rPr>
          <w:rFonts w:hint="eastAsia" w:ascii="Times New Roman" w:hAnsi="Times New Roman" w:eastAsia="仿宋_GB2312" w:cs="仿宋_GB2312"/>
          <w:sz w:val="32"/>
          <w:szCs w:val="32"/>
          <w:shd w:val="clear" w:color="auto" w:fill="FFFFFF"/>
          <w:lang w:eastAsia="zh-CN"/>
        </w:rPr>
        <w:t>企业</w:t>
      </w:r>
      <w:r>
        <w:rPr>
          <w:rFonts w:ascii="Times New Roman" w:hAnsi="Times New Roman" w:eastAsia="仿宋_GB2312" w:cs="仿宋_GB2312"/>
          <w:sz w:val="32"/>
          <w:szCs w:val="32"/>
          <w:shd w:val="clear" w:color="auto" w:fill="FFFFFF"/>
        </w:rPr>
        <w:t>财富管理转型升级迎来新起点。</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东方证券基金投顾业务依托集团资产管理优势和财富管理经验，不断优化服务模式，在全市场范围严选产品，以买方视角服务居民金融资产配置需求，并为客户提供全流程的专业陪伴，持续引领财富管理业务转型。首批上线的“悦安稳、悦稳健、悦平衡、悦积极、悦进取”五大策略组合，将通过对客户进行风险测评等方式精准匹配投资组合策略，提供买方财富管理的专业服务。</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东方证券</w:t>
      </w:r>
      <w:r>
        <w:rPr>
          <w:rFonts w:hint="eastAsia" w:ascii="Times New Roman" w:hAnsi="Times New Roman" w:eastAsia="仿宋_GB2312" w:cs="仿宋_GB2312"/>
          <w:sz w:val="32"/>
          <w:szCs w:val="32"/>
          <w:shd w:val="clear" w:color="auto" w:fill="FFFFFF"/>
          <w:lang w:eastAsia="zh-CN"/>
        </w:rPr>
        <w:t>自</w:t>
      </w:r>
      <w:r>
        <w:rPr>
          <w:rFonts w:ascii="Times New Roman" w:hAnsi="Times New Roman" w:eastAsia="仿宋_GB2312" w:cs="仿宋_GB2312"/>
          <w:sz w:val="32"/>
          <w:szCs w:val="32"/>
          <w:shd w:val="clear" w:color="auto" w:fill="FFFFFF"/>
        </w:rPr>
        <w:t>2015年</w:t>
      </w:r>
      <w:r>
        <w:rPr>
          <w:rFonts w:hint="eastAsia" w:ascii="Times New Roman" w:hAnsi="Times New Roman" w:eastAsia="仿宋_GB2312" w:cs="仿宋_GB2312"/>
          <w:sz w:val="32"/>
          <w:szCs w:val="32"/>
          <w:shd w:val="clear" w:color="auto" w:fill="FFFFFF"/>
          <w:lang w:eastAsia="zh-CN"/>
        </w:rPr>
        <w:t>起便</w:t>
      </w:r>
      <w:r>
        <w:rPr>
          <w:rFonts w:ascii="Times New Roman" w:hAnsi="Times New Roman" w:eastAsia="仿宋_GB2312" w:cs="仿宋_GB2312"/>
          <w:sz w:val="32"/>
          <w:szCs w:val="32"/>
          <w:shd w:val="clear" w:color="auto" w:fill="FFFFFF"/>
        </w:rPr>
        <w:t>开始布局财富管理业务转型，始终坚持“严选资产、专业配置、买方视角、完整服务”，将一系列战略转型措施推动落地。历经6年多的探索，东方证券逐步建立起了具有东方特色的券商财富管理商业模式，并在保持经纪业务总体稳定增长的同时，较好地实现了收入结构的调整与新型商业模式的更新迭代。</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未来，东方证券将全力做好基金投顾业务的客户服务工作，不断为客户提供个性化、定制化的资产配置及投顾服务，持续提升公司财富管理业务能级，服务好居民和广大机构的金融资产配置。</w:t>
      </w:r>
      <w:r>
        <w:rPr>
          <w:rFonts w:hint="eastAsia" w:ascii="Times New Roman" w:hAnsi="Times New Roman" w:eastAsia="仿宋_GB2312" w:cs="仿宋_GB2312"/>
          <w:sz w:val="32"/>
          <w:szCs w:val="32"/>
          <w:shd w:val="clear" w:color="auto" w:fill="FFFFFF"/>
        </w:rPr>
        <w:t>（申能集团）</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隧道股份与华为携手推进城市数字转型</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隧道股份下属上海城建与华为达成全方位合作，将在城市地下空间建设、智慧高速解决方案、智慧城市建设运营等领域跨界合作、携手共进。双方将携手以数字革命重新定义城市未来，为包括上海在内全国城市的数字化转型提供领先方案，着力推动数字化技术在传统行业中的渗透融合，打造更多符合时代需要、符合城市发展、符合市民需求的“智慧城市建设样本”。</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楷体_GB2312" w:hAnsi="楷体_GB2312" w:eastAsia="楷体_GB2312" w:cs="仿宋_GB2312"/>
          <w:b/>
          <w:sz w:val="32"/>
          <w:szCs w:val="32"/>
          <w:shd w:val="clear" w:color="auto" w:fill="FFFFFF"/>
        </w:rPr>
        <w:t>携手打造“数字盾构”</w:t>
      </w:r>
      <w:r>
        <w:rPr>
          <w:rFonts w:hint="eastAsia" w:ascii="楷体_GB2312" w:hAnsi="楷体_GB2312" w:eastAsia="楷体_GB2312" w:cs="仿宋_GB2312"/>
          <w:b/>
          <w:sz w:val="32"/>
          <w:szCs w:val="32"/>
          <w:shd w:val="clear" w:color="auto" w:fill="FFFFFF"/>
          <w:lang w:eastAsia="zh-CN"/>
        </w:rPr>
        <w:t>，</w:t>
      </w:r>
      <w:r>
        <w:rPr>
          <w:rFonts w:ascii="楷体_GB2312" w:hAnsi="楷体_GB2312" w:eastAsia="楷体_GB2312" w:cs="仿宋_GB2312"/>
          <w:b/>
          <w:sz w:val="32"/>
          <w:szCs w:val="32"/>
          <w:shd w:val="clear" w:color="auto" w:fill="FFFFFF"/>
        </w:rPr>
        <w:t>推动盾构自动巡航辅助驾驶技术发展</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sz w:val="32"/>
          <w:szCs w:val="32"/>
          <w:shd w:val="clear" w:color="auto" w:fill="FFFFFF"/>
        </w:rPr>
        <w:t>上海城建在盾构领域具有国内领先的优势，制造了中国第一台具有自主知识产权的国产盾构，以及国内第一台14米级超大直径泥水盾构。双方将利用华为在人工智能算法开发、环境数据感知领域的优势技术，围绕上海地下工程高质量、安全推进的需求，将上海城建的盾构装备领域的“制造能力”与华为在通讯与人工智能方面的“智造能力”进行有机融合，推动盾构自动巡航辅助驾驶技术发展，进一步推动盾构迈入无人驾驶的新时代，提升地下工程建设的效率与质量。</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楷体_GB2312" w:hAnsi="楷体_GB2312" w:eastAsia="楷体_GB2312" w:cs="仿宋_GB2312"/>
          <w:b/>
          <w:sz w:val="32"/>
          <w:szCs w:val="32"/>
          <w:shd w:val="clear" w:color="auto" w:fill="FFFFFF"/>
        </w:rPr>
        <w:t>提升在智慧城市“一网统管”场景下的产品研发及建设运营服务能力</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sz w:val="32"/>
          <w:szCs w:val="32"/>
          <w:shd w:val="clear" w:color="auto" w:fill="FFFFFF"/>
        </w:rPr>
        <w:t>上海城建将与华为携手，通过在隧道、桥梁、公路、工地等设施内植入监测结构沉降、渗漏水、变形、位移等关键数据的感知设备，让基础设施拥有生命体征，更精准、更及时地为基础设施“发现病灶、找出病因、对症施治”，提供覆盖设施全生命周期的精细化管理，</w:t>
      </w:r>
      <w:r>
        <w:rPr>
          <w:rFonts w:hint="eastAsia" w:ascii="Times New Roman" w:hAnsi="Times New Roman" w:eastAsia="仿宋_GB2312" w:cs="仿宋_GB2312"/>
          <w:sz w:val="32"/>
          <w:szCs w:val="32"/>
          <w:shd w:val="clear" w:color="auto" w:fill="FFFFFF"/>
          <w:lang w:eastAsia="zh-CN"/>
        </w:rPr>
        <w:t>实现风险隐患早发现、早化解</w:t>
      </w:r>
      <w:r>
        <w:rPr>
          <w:rFonts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（隧道股份）</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上汽集团构建全业务链数智化转型创新</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，上汽乘用车入选2021年国家级“智能制造标杆企业”名单。围绕上汽集团发展战略，上汽乘用车构建了“数字化研发+智能制造+数字化供应链+数字营销”的全业务链数智化转型创新。</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汽乘用车通过建立业务数字化系统，实现零件的智能设计、虚拟仿真分析、评价与优化，提升产品开发效率，缩短产品验证周期和成本，实现快速迭代。同时，从研发源头做到“以用户为中心”，借助海量数据深入洞悉用户偏好，为用户带来“千人千面”“千车千面”的个性化体验。上汽乘用车的智能制造体系基于5G网络、</w:t>
      </w:r>
      <w:r>
        <w:rPr>
          <w:rFonts w:hint="eastAsia" w:ascii="Times New Roman" w:hAnsi="Times New Roman" w:eastAsia="仿宋_GB2312" w:cs="仿宋_GB2312"/>
          <w:sz w:val="32"/>
          <w:szCs w:val="32"/>
          <w:shd w:val="clear" w:color="auto" w:fill="FFFFFF"/>
          <w:lang w:eastAsia="zh-CN"/>
        </w:rPr>
        <w:t>物联网</w:t>
      </w:r>
      <w:r>
        <w:rPr>
          <w:rFonts w:ascii="Times New Roman" w:hAnsi="Times New Roman" w:eastAsia="仿宋_GB2312" w:cs="仿宋_GB2312"/>
          <w:sz w:val="32"/>
          <w:szCs w:val="32"/>
          <w:shd w:val="clear" w:color="auto" w:fill="FFFFFF"/>
        </w:rPr>
        <w:t>等技术打造高效协同的数字化工厂，使得研发周期缩短38.4%，产品不良率下降7.5%，生产效率提高22%。</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汽乘用车构建汽车行业供应链工业互联网平台，推进内外部业务高度融合，并将自身信息化建设的成功经验和生产管理体系在行业内进行推广，引领产业转型升级。目前，上汽乘用车的行业供应链生态覆盖2300+全球供应商、1100+经销商，平台日均用户访问数达2万+、数据交互量达千万级。上汽乘用车已开发包括“手机</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车机</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线下”三端一体化社交互动产品，鼓励用户不断与品牌互动与共创。</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上汽乘用车将继续融合云计算、大数据、AI等新技术，持续打造用户智慧出行全生命周期新体验，为用户带来更优质的产品与服务体验，积极推动汽车产业的高质量发展。</w:t>
      </w:r>
      <w:r>
        <w:rPr>
          <w:rFonts w:hint="eastAsia" w:ascii="Times New Roman" w:hAnsi="Times New Roman" w:eastAsia="仿宋_GB2312" w:cs="仿宋_GB2312"/>
          <w:sz w:val="32"/>
          <w:szCs w:val="32"/>
          <w:shd w:val="clear" w:color="auto" w:fill="FFFFFF"/>
        </w:rPr>
        <w:t>（上汽集团）</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上海联交所荣获全球绿色金融奖项</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近日，在由国际金融论坛（IFF）组织发起的全球绿色金融奖项评选中，上海联交所荣获“2021全球绿色金融奖年度奖”。该奖项旨在对全球绿色金融领域做出突出贡献的机构进行表彰和奖励。</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当前世界各国携手应对气候变化、中国全面落实“3060”双碳目标和推进实现可持续发展的大背景下，绿色金融已经成为推动实现绿色低碳发展和重要行业脱碳转型的关键一环和重要支撑。作为全国碳市场的重要建设主体，上海联交所牵头全面负责、组织推进全国碳交易系统、交易制度、交易机构及市场准备各项工作</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2021年7月16日，全国碳市场正式启动上线交易。当前全国碳市场运行良好，为推动我国低碳绿色转型和绿色经济发展做出了应有的贡献。</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上海联交所将深入实施“一体两翼多平台”发展战略，持续推动中国碳市场的建设，继续开拓创新，把全国碳市场建设好、运营好，为把上海打造成具有国际影响力的碳金融中心作出积极贡献。</w:t>
      </w:r>
      <w:r>
        <w:rPr>
          <w:rFonts w:hint="eastAsia" w:ascii="Times New Roman" w:hAnsi="Times New Roman" w:eastAsia="仿宋_GB2312" w:cs="仿宋_GB2312"/>
          <w:sz w:val="32"/>
          <w:szCs w:val="32"/>
          <w:shd w:val="clear" w:color="auto" w:fill="FFFFFF"/>
        </w:rPr>
        <w:t>（上海联交所）</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临港集团创晶科技中心获得“鲁班奖”</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近日，临港集团创晶科技中心斩获中国建设工程质量最高荣誉“鲁班奖”。</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创晶科技中心由临港集团下属临港科技城公司开发，集聚了临港集团和近百家集成电路、人工智能、数字经济等前沿领域企业总部，为国际创新协同区内科创企业的发展提供有力支撑。</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创晶科技中心的建筑方案设计灵感</w:t>
      </w:r>
      <w:r>
        <w:rPr>
          <w:rFonts w:hint="eastAsia" w:ascii="Times New Roman" w:hAnsi="Times New Roman" w:eastAsia="仿宋_GB2312" w:cs="仿宋_GB2312"/>
          <w:sz w:val="32"/>
          <w:szCs w:val="32"/>
          <w:shd w:val="clear" w:color="auto" w:fill="FFFFFF"/>
          <w:lang w:eastAsia="zh-CN"/>
        </w:rPr>
        <w:t>受到</w:t>
      </w:r>
      <w:r>
        <w:rPr>
          <w:rFonts w:ascii="Times New Roman" w:hAnsi="Times New Roman" w:eastAsia="仿宋_GB2312" w:cs="仿宋_GB2312"/>
          <w:sz w:val="32"/>
          <w:szCs w:val="32"/>
          <w:shd w:val="clear" w:color="auto" w:fill="FFFFFF"/>
        </w:rPr>
        <w:t>钻石晶体的美学启发，建筑形体的设计由一系列大的折面组成，三栋塔楼共计48个倾斜面，裙楼部位有近60多个角度不同的三角面折线拼接，并采用大跨度、大悬挑钢结构。创晶科技中心项目部采用BIM</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lang w:val="en-US" w:eastAsia="zh-CN"/>
        </w:rPr>
        <w:t>建筑信息模型</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建模、实测技术及模拟定位指导下高空散装法施工。针对项目工期紧及楼道内繁多复杂的设备等难题，项目部积极利用基于BIM技术的管线综合平台，在施工前对建筑、精装饰、机电设备管线等进行三维建模，排布设备及各系统管线，确保各系统安装规范牢固。</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下一步，</w:t>
      </w:r>
      <w:r>
        <w:rPr>
          <w:rFonts w:ascii="Times New Roman" w:hAnsi="Times New Roman" w:eastAsia="仿宋_GB2312" w:cs="仿宋_GB2312"/>
          <w:sz w:val="32"/>
          <w:szCs w:val="32"/>
          <w:shd w:val="clear" w:color="auto" w:fill="FFFFFF"/>
        </w:rPr>
        <w:t>临港科技城公司将继续坚持高起点规划、高标准施工，打造高品质建筑，积极推进园区开发建设，打造具有世界影响力的科创策源地。</w:t>
      </w:r>
      <w:r>
        <w:rPr>
          <w:rFonts w:hint="eastAsia" w:ascii="Times New Roman" w:hAnsi="Times New Roman" w:eastAsia="仿宋_GB2312" w:cs="仿宋_GB2312"/>
          <w:sz w:val="32"/>
          <w:szCs w:val="32"/>
          <w:shd w:val="clear" w:color="auto" w:fill="FFFFFF"/>
        </w:rPr>
        <w:t>（临港集团）</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光明食品集团崇明农场蓄力“后花博”</w:t>
      </w:r>
      <w:r>
        <w:rPr>
          <w:rFonts w:hint="eastAsia" w:ascii="华文中宋" w:hAnsi="华文中宋" w:eastAsia="华文中宋"/>
          <w:bCs/>
          <w:sz w:val="36"/>
          <w:szCs w:val="36"/>
        </w:rPr>
        <w:t>产业发展</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近日，光明食品集团崇明农场与上海市园林科学规划研究院共同推进上海紫藤园综合体项目建设，</w:t>
      </w:r>
      <w:r>
        <w:rPr>
          <w:rFonts w:hint="eastAsia" w:ascii="Times New Roman" w:hAnsi="Times New Roman" w:eastAsia="仿宋_GB2312" w:cs="仿宋_GB2312"/>
          <w:sz w:val="32"/>
          <w:szCs w:val="32"/>
          <w:shd w:val="clear" w:color="auto" w:fill="FFFFFF"/>
          <w:lang w:eastAsia="zh-CN"/>
        </w:rPr>
        <w:t>推动</w:t>
      </w:r>
      <w:r>
        <w:rPr>
          <w:rFonts w:ascii="Times New Roman" w:hAnsi="Times New Roman" w:eastAsia="仿宋_GB2312" w:cs="仿宋_GB2312"/>
          <w:sz w:val="32"/>
          <w:szCs w:val="32"/>
          <w:shd w:val="clear" w:color="auto" w:fill="FFFFFF"/>
        </w:rPr>
        <w:t>崇明农场“后花博”的产业发展。</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紫藤园综合体是继光明田原和花博园项目后，推进农场建设的又一重大工程项目。项目建</w:t>
      </w:r>
      <w:r>
        <w:rPr>
          <w:rFonts w:hint="eastAsia" w:ascii="Times New Roman" w:hAnsi="Times New Roman" w:eastAsia="仿宋_GB2312" w:cs="仿宋_GB2312"/>
          <w:sz w:val="32"/>
          <w:szCs w:val="32"/>
          <w:shd w:val="clear" w:color="auto" w:fill="FFFFFF"/>
          <w:lang w:eastAsia="zh-CN"/>
        </w:rPr>
        <w:t>成</w:t>
      </w:r>
      <w:r>
        <w:rPr>
          <w:rFonts w:ascii="Times New Roman" w:hAnsi="Times New Roman" w:eastAsia="仿宋_GB2312" w:cs="仿宋_GB2312"/>
          <w:sz w:val="32"/>
          <w:szCs w:val="32"/>
          <w:shd w:val="clear" w:color="auto" w:fill="FFFFFF"/>
        </w:rPr>
        <w:t>后将在明年四月紫藤</w:t>
      </w:r>
      <w:r>
        <w:rPr>
          <w:rFonts w:hint="eastAsia" w:ascii="Times New Roman" w:hAnsi="Times New Roman" w:eastAsia="仿宋_GB2312" w:cs="仿宋_GB2312"/>
          <w:sz w:val="32"/>
          <w:szCs w:val="32"/>
          <w:shd w:val="clear" w:color="auto" w:fill="FFFFFF"/>
          <w:lang w:eastAsia="zh-CN"/>
        </w:rPr>
        <w:t>花季</w:t>
      </w:r>
      <w:r>
        <w:rPr>
          <w:rFonts w:ascii="Times New Roman" w:hAnsi="Times New Roman" w:eastAsia="仿宋_GB2312" w:cs="仿宋_GB2312"/>
          <w:sz w:val="32"/>
          <w:szCs w:val="32"/>
          <w:shd w:val="clear" w:color="auto" w:fill="FFFFFF"/>
        </w:rPr>
        <w:t>，以全新的姿态迎接广大游客。紫藤园综合体是崇明农场践行“永不落幕的花博会”和拓展后花博产业发展空间的重要探索。项目以瑞华果园1500亩区域面积为核心，辐射新海镇周边地区和崇明农场连队，对接光明母港现代农业种业创新区。立足培育生态、农旅、文旅等产业，形成集“吃、住、行、游、娱、科普”等为一体的生态综合体，形成上海乃至中国最大紫藤主题园，承接进博会溢出效应，切实为盘活农场存量资源</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促进农场文旅产业高质量发展作出积极贡献。</w:t>
      </w:r>
      <w:r>
        <w:rPr>
          <w:rFonts w:hint="eastAsia" w:ascii="Times New Roman" w:hAnsi="Times New Roman" w:eastAsia="仿宋_GB2312" w:cs="仿宋_GB2312"/>
          <w:sz w:val="32"/>
          <w:szCs w:val="32"/>
          <w:shd w:val="clear" w:color="auto" w:fill="FFFFFF"/>
        </w:rPr>
        <w:t>（光明食品集团）</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华谊集团新材料公司打造智能化安全生产管控体系</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，华谊新材料公司入选2021年国家级“智能制造标杆企业”名单。</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华谊新材料公司以上海化工区丙烯酸及酯智能工厂为载体，根据化工企业典型生产特点，采用行业先进的丙烯酸吸收精馏耦合工艺，着力构建高效、敏捷、集成的智能化安全生产管控体系。聚焦生产作业关键环节，搭建工艺生产数字孪生平台，建设智慧供应链协同体系，实现全流程智能化调度、时效利润最优化排产、先进控制技术、实时在线优化等深度融合。</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下一步</w:t>
      </w:r>
      <w:r>
        <w:rPr>
          <w:rFonts w:ascii="Times New Roman" w:hAnsi="Times New Roman" w:eastAsia="仿宋_GB2312" w:cs="仿宋_GB2312"/>
          <w:sz w:val="32"/>
          <w:szCs w:val="32"/>
          <w:shd w:val="clear" w:color="auto" w:fill="FFFFFF"/>
        </w:rPr>
        <w:t>，新材料公司将不断对照标准，强化各数字化系统间的集成应用，优化业务流程，全方位实现效率和效益的提升，为化工行业数字化转型提供示范。</w:t>
      </w:r>
      <w:r>
        <w:rPr>
          <w:rFonts w:hint="eastAsia" w:ascii="Times New Roman" w:hAnsi="Times New Roman" w:eastAsia="仿宋_GB2312" w:cs="仿宋_GB2312"/>
          <w:sz w:val="32"/>
          <w:szCs w:val="32"/>
          <w:shd w:val="clear" w:color="auto" w:fill="FFFFFF"/>
        </w:rPr>
        <w:t>（华谊集团）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4790F"/>
    <w:rsid w:val="000A193E"/>
    <w:rsid w:val="000A2078"/>
    <w:rsid w:val="000B7C98"/>
    <w:rsid w:val="000C6987"/>
    <w:rsid w:val="000D1DEB"/>
    <w:rsid w:val="000D35B8"/>
    <w:rsid w:val="000E10D8"/>
    <w:rsid w:val="00100232"/>
    <w:rsid w:val="0010203C"/>
    <w:rsid w:val="00104B51"/>
    <w:rsid w:val="001154F5"/>
    <w:rsid w:val="0012642C"/>
    <w:rsid w:val="00163D05"/>
    <w:rsid w:val="00197224"/>
    <w:rsid w:val="001A10B9"/>
    <w:rsid w:val="001B7A69"/>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031B8"/>
    <w:rsid w:val="0032618E"/>
    <w:rsid w:val="0032716B"/>
    <w:rsid w:val="003329D6"/>
    <w:rsid w:val="00352A54"/>
    <w:rsid w:val="00363201"/>
    <w:rsid w:val="0036499A"/>
    <w:rsid w:val="0037269B"/>
    <w:rsid w:val="003733E9"/>
    <w:rsid w:val="00373C12"/>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4E6359"/>
    <w:rsid w:val="00506092"/>
    <w:rsid w:val="00520E71"/>
    <w:rsid w:val="00530385"/>
    <w:rsid w:val="0053577C"/>
    <w:rsid w:val="005526B5"/>
    <w:rsid w:val="00564BCA"/>
    <w:rsid w:val="005657E6"/>
    <w:rsid w:val="0057768B"/>
    <w:rsid w:val="005853F5"/>
    <w:rsid w:val="0059441F"/>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C0478"/>
    <w:rsid w:val="006C26D0"/>
    <w:rsid w:val="006F6CF9"/>
    <w:rsid w:val="007271D2"/>
    <w:rsid w:val="007271F6"/>
    <w:rsid w:val="00730884"/>
    <w:rsid w:val="0074545C"/>
    <w:rsid w:val="00755A4A"/>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2AAF"/>
    <w:rsid w:val="00973B94"/>
    <w:rsid w:val="009921FC"/>
    <w:rsid w:val="009A65AA"/>
    <w:rsid w:val="009B5B7F"/>
    <w:rsid w:val="009C6CE0"/>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70223"/>
    <w:rsid w:val="00D72A7B"/>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32F5A"/>
    <w:rsid w:val="00F36BFA"/>
    <w:rsid w:val="00F41066"/>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10146F42"/>
    <w:rsid w:val="11412D2A"/>
    <w:rsid w:val="115A7F13"/>
    <w:rsid w:val="1216712E"/>
    <w:rsid w:val="131C5D48"/>
    <w:rsid w:val="133A18D0"/>
    <w:rsid w:val="13ED9B82"/>
    <w:rsid w:val="14235BA4"/>
    <w:rsid w:val="14345A5E"/>
    <w:rsid w:val="14945FFA"/>
    <w:rsid w:val="14B64181"/>
    <w:rsid w:val="15264DDC"/>
    <w:rsid w:val="15B11526"/>
    <w:rsid w:val="16111090"/>
    <w:rsid w:val="17324CB1"/>
    <w:rsid w:val="174A3B2A"/>
    <w:rsid w:val="17E34753"/>
    <w:rsid w:val="18EB736D"/>
    <w:rsid w:val="1A38780A"/>
    <w:rsid w:val="1A3C348B"/>
    <w:rsid w:val="1B9B0AC3"/>
    <w:rsid w:val="1BB10D29"/>
    <w:rsid w:val="1BB337F2"/>
    <w:rsid w:val="1C772629"/>
    <w:rsid w:val="1CBB44D2"/>
    <w:rsid w:val="1CF547AE"/>
    <w:rsid w:val="1CF65CC8"/>
    <w:rsid w:val="1DB06C07"/>
    <w:rsid w:val="1E1D65C5"/>
    <w:rsid w:val="1E26229B"/>
    <w:rsid w:val="1E445FF6"/>
    <w:rsid w:val="1EAF2145"/>
    <w:rsid w:val="1F7923C8"/>
    <w:rsid w:val="1F992017"/>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BBF5FD"/>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BB95FC1"/>
    <w:rsid w:val="3BF23BBD"/>
    <w:rsid w:val="3BFFE35E"/>
    <w:rsid w:val="3C1463DC"/>
    <w:rsid w:val="3D5D41E4"/>
    <w:rsid w:val="3DDF3320"/>
    <w:rsid w:val="3DEF896D"/>
    <w:rsid w:val="3E1C6660"/>
    <w:rsid w:val="3E534107"/>
    <w:rsid w:val="3E6D7C40"/>
    <w:rsid w:val="3E7D7357"/>
    <w:rsid w:val="3E7E4483"/>
    <w:rsid w:val="3ED54F3C"/>
    <w:rsid w:val="3EDB2AB4"/>
    <w:rsid w:val="3EDBEDEA"/>
    <w:rsid w:val="3EEB0124"/>
    <w:rsid w:val="3F007A43"/>
    <w:rsid w:val="3F4F63EB"/>
    <w:rsid w:val="3F7E50B6"/>
    <w:rsid w:val="3F966F11"/>
    <w:rsid w:val="3FB74C49"/>
    <w:rsid w:val="3FF55B04"/>
    <w:rsid w:val="400B2BD4"/>
    <w:rsid w:val="40644FCB"/>
    <w:rsid w:val="41330CF8"/>
    <w:rsid w:val="41494B4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F364C44"/>
    <w:rsid w:val="4F3A05E4"/>
    <w:rsid w:val="4F896F2C"/>
    <w:rsid w:val="4FBA4337"/>
    <w:rsid w:val="4FBFB35E"/>
    <w:rsid w:val="504C5CD6"/>
    <w:rsid w:val="50515637"/>
    <w:rsid w:val="50A92D4C"/>
    <w:rsid w:val="50C9326E"/>
    <w:rsid w:val="52325B10"/>
    <w:rsid w:val="52533C9E"/>
    <w:rsid w:val="52745A82"/>
    <w:rsid w:val="52A76694"/>
    <w:rsid w:val="53631164"/>
    <w:rsid w:val="53B6A970"/>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DA7277"/>
    <w:rsid w:val="5BFF86E1"/>
    <w:rsid w:val="5CBB7F06"/>
    <w:rsid w:val="5CC951D9"/>
    <w:rsid w:val="5EE75251"/>
    <w:rsid w:val="5EF04743"/>
    <w:rsid w:val="5EFFEF1F"/>
    <w:rsid w:val="5F2F9981"/>
    <w:rsid w:val="5F3E0ACB"/>
    <w:rsid w:val="5F719710"/>
    <w:rsid w:val="5F75119B"/>
    <w:rsid w:val="5FFD34DC"/>
    <w:rsid w:val="5FFF3367"/>
    <w:rsid w:val="60296926"/>
    <w:rsid w:val="608A504B"/>
    <w:rsid w:val="60D01697"/>
    <w:rsid w:val="610C368A"/>
    <w:rsid w:val="619A66F6"/>
    <w:rsid w:val="61B25FB6"/>
    <w:rsid w:val="61C87088"/>
    <w:rsid w:val="626C5D26"/>
    <w:rsid w:val="626F3584"/>
    <w:rsid w:val="63916243"/>
    <w:rsid w:val="63BF555C"/>
    <w:rsid w:val="64594F63"/>
    <w:rsid w:val="64DC2F96"/>
    <w:rsid w:val="64EA1512"/>
    <w:rsid w:val="65DF58AF"/>
    <w:rsid w:val="66F63CDE"/>
    <w:rsid w:val="67174435"/>
    <w:rsid w:val="67EF3E8A"/>
    <w:rsid w:val="68073088"/>
    <w:rsid w:val="68122A21"/>
    <w:rsid w:val="684360B9"/>
    <w:rsid w:val="686D42B8"/>
    <w:rsid w:val="698F4B52"/>
    <w:rsid w:val="69DC28C9"/>
    <w:rsid w:val="69DC3B86"/>
    <w:rsid w:val="6A4E41D7"/>
    <w:rsid w:val="6A73318F"/>
    <w:rsid w:val="6A850831"/>
    <w:rsid w:val="6A9C6BC1"/>
    <w:rsid w:val="6AAC43AB"/>
    <w:rsid w:val="6BA36B4E"/>
    <w:rsid w:val="6BEEC230"/>
    <w:rsid w:val="6D578914"/>
    <w:rsid w:val="6D8C308F"/>
    <w:rsid w:val="6DFEBCD3"/>
    <w:rsid w:val="6E2E602E"/>
    <w:rsid w:val="6E547698"/>
    <w:rsid w:val="6E7C06DC"/>
    <w:rsid w:val="6E9149EE"/>
    <w:rsid w:val="6EBB6209"/>
    <w:rsid w:val="6EDC8900"/>
    <w:rsid w:val="6F1827C1"/>
    <w:rsid w:val="6FDED90F"/>
    <w:rsid w:val="70530F00"/>
    <w:rsid w:val="706A0DB9"/>
    <w:rsid w:val="708E3EC7"/>
    <w:rsid w:val="713A7953"/>
    <w:rsid w:val="714F0D55"/>
    <w:rsid w:val="71FE9BA7"/>
    <w:rsid w:val="72526DF2"/>
    <w:rsid w:val="72CDC4DA"/>
    <w:rsid w:val="734D29FA"/>
    <w:rsid w:val="73A84BDE"/>
    <w:rsid w:val="73C82C13"/>
    <w:rsid w:val="73CB765F"/>
    <w:rsid w:val="74F32415"/>
    <w:rsid w:val="752442A1"/>
    <w:rsid w:val="7571060B"/>
    <w:rsid w:val="75E51AD6"/>
    <w:rsid w:val="769E038C"/>
    <w:rsid w:val="76CF9F74"/>
    <w:rsid w:val="76D2236C"/>
    <w:rsid w:val="76EEE8D8"/>
    <w:rsid w:val="77EF34B0"/>
    <w:rsid w:val="77FB83BA"/>
    <w:rsid w:val="78360861"/>
    <w:rsid w:val="78432307"/>
    <w:rsid w:val="78EFB3ED"/>
    <w:rsid w:val="790B46BF"/>
    <w:rsid w:val="79313054"/>
    <w:rsid w:val="7948586D"/>
    <w:rsid w:val="79648CE7"/>
    <w:rsid w:val="797C3BF5"/>
    <w:rsid w:val="797F123B"/>
    <w:rsid w:val="79BC665B"/>
    <w:rsid w:val="79FE79B4"/>
    <w:rsid w:val="7A050800"/>
    <w:rsid w:val="7A39EDEC"/>
    <w:rsid w:val="7AA93709"/>
    <w:rsid w:val="7AE3B1CB"/>
    <w:rsid w:val="7AEBF352"/>
    <w:rsid w:val="7B6C4EA4"/>
    <w:rsid w:val="7BC6564B"/>
    <w:rsid w:val="7BDD09BC"/>
    <w:rsid w:val="7BDD7736"/>
    <w:rsid w:val="7BDDB5A4"/>
    <w:rsid w:val="7BEFC310"/>
    <w:rsid w:val="7BF64E7C"/>
    <w:rsid w:val="7D28E77E"/>
    <w:rsid w:val="7D7443DF"/>
    <w:rsid w:val="7DB3750F"/>
    <w:rsid w:val="7DB7E609"/>
    <w:rsid w:val="7DD7B045"/>
    <w:rsid w:val="7DFB927B"/>
    <w:rsid w:val="7EEFE61A"/>
    <w:rsid w:val="7EF853F7"/>
    <w:rsid w:val="7F0D4BF9"/>
    <w:rsid w:val="7F47F74D"/>
    <w:rsid w:val="7F5F1E43"/>
    <w:rsid w:val="7F5FC928"/>
    <w:rsid w:val="7F693029"/>
    <w:rsid w:val="7F74512A"/>
    <w:rsid w:val="7F7FD5AF"/>
    <w:rsid w:val="7FAE582C"/>
    <w:rsid w:val="7FAFF2D2"/>
    <w:rsid w:val="7FBD6F39"/>
    <w:rsid w:val="7FCF295D"/>
    <w:rsid w:val="7FD32164"/>
    <w:rsid w:val="7FE7D5AC"/>
    <w:rsid w:val="7FEB79B7"/>
    <w:rsid w:val="7FFB5796"/>
    <w:rsid w:val="7FFF14A8"/>
    <w:rsid w:val="97774B89"/>
    <w:rsid w:val="97B8E4DD"/>
    <w:rsid w:val="9EDF1CF9"/>
    <w:rsid w:val="9FD7130A"/>
    <w:rsid w:val="ABB751B9"/>
    <w:rsid w:val="ADFF433D"/>
    <w:rsid w:val="AFDFB2EC"/>
    <w:rsid w:val="B5667DE8"/>
    <w:rsid w:val="B7E7CA7E"/>
    <w:rsid w:val="BA7B23C6"/>
    <w:rsid w:val="BC69FFEE"/>
    <w:rsid w:val="BF6D28EE"/>
    <w:rsid w:val="BFCD98E6"/>
    <w:rsid w:val="BFE84A56"/>
    <w:rsid w:val="BFF503AA"/>
    <w:rsid w:val="CED3F23F"/>
    <w:rsid w:val="CFFBCE3B"/>
    <w:rsid w:val="CFFFCA73"/>
    <w:rsid w:val="D3F7181E"/>
    <w:rsid w:val="D6AB0B0A"/>
    <w:rsid w:val="DE7E3434"/>
    <w:rsid w:val="E3FFF991"/>
    <w:rsid w:val="E77F5EA1"/>
    <w:rsid w:val="E79E2FAF"/>
    <w:rsid w:val="E7E32D34"/>
    <w:rsid w:val="E9F9C654"/>
    <w:rsid w:val="EBF3E73D"/>
    <w:rsid w:val="ED92881B"/>
    <w:rsid w:val="F37BF0F4"/>
    <w:rsid w:val="F51711C5"/>
    <w:rsid w:val="F5AD9A7A"/>
    <w:rsid w:val="F6BB9783"/>
    <w:rsid w:val="F7CB35D6"/>
    <w:rsid w:val="F81BE653"/>
    <w:rsid w:val="F97EA843"/>
    <w:rsid w:val="FAFE117F"/>
    <w:rsid w:val="FB3F381C"/>
    <w:rsid w:val="FB731EEE"/>
    <w:rsid w:val="FBC7FF36"/>
    <w:rsid w:val="FBE94202"/>
    <w:rsid w:val="FE3F5735"/>
    <w:rsid w:val="FE734873"/>
    <w:rsid w:val="FEFE77D7"/>
    <w:rsid w:val="FF9FDB8B"/>
    <w:rsid w:val="FFAEAD8D"/>
    <w:rsid w:val="FFBB1F94"/>
    <w:rsid w:val="FFE94E87"/>
    <w:rsid w:val="FFFBB5F8"/>
    <w:rsid w:val="FFFF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835</Words>
  <Characters>4764</Characters>
  <Lines>39</Lines>
  <Paragraphs>11</Paragraphs>
  <TotalTime>0</TotalTime>
  <ScaleCrop>false</ScaleCrop>
  <LinksUpToDate>false</LinksUpToDate>
  <CharactersWithSpaces>5588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2021-12-12T04:52:00Z</dcterms:created>
  <dc:creator>user</dc:creator>
  <cp:lastModifiedBy>user</cp:lastModifiedBy>
  <cp:lastPrinted>2021-08-01T15:13:00Z</cp:lastPrinted>
  <dcterms:modified xsi:type="dcterms:W3CDTF">2021-12-14T16:28:48Z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