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6F6E" w14:textId="77777777" w:rsidR="00404454"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5E4A701" w14:textId="77777777" w:rsidR="00404454" w:rsidRDefault="00000000">
      <w:pPr>
        <w:widowControl w:val="0"/>
        <w:spacing w:line="480" w:lineRule="exact"/>
        <w:ind w:rightChars="-42" w:right="-101"/>
        <w:jc w:val="center"/>
        <w:rPr>
          <w:b/>
          <w:sz w:val="32"/>
        </w:rPr>
      </w:pPr>
      <w:r>
        <w:rPr>
          <w:rFonts w:hint="eastAsia"/>
          <w:b/>
          <w:sz w:val="32"/>
        </w:rPr>
        <w:t>第16期</w:t>
      </w:r>
    </w:p>
    <w:p w14:paraId="4FE7953F" w14:textId="77777777" w:rsidR="00404454" w:rsidRDefault="00404454">
      <w:pPr>
        <w:widowControl w:val="0"/>
        <w:spacing w:line="480" w:lineRule="exact"/>
        <w:ind w:rightChars="-42" w:right="-101"/>
        <w:jc w:val="center"/>
        <w:rPr>
          <w:b/>
          <w:sz w:val="32"/>
        </w:rPr>
      </w:pPr>
    </w:p>
    <w:p w14:paraId="02558176" w14:textId="77777777" w:rsidR="00404454"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25542ABD" w14:textId="77777777" w:rsidR="00404454"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23年5月</w:t>
      </w:r>
      <w:r w:rsidR="00AE55BF">
        <w:rPr>
          <w:rFonts w:ascii="楷体_GB2312" w:eastAsia="楷体_GB2312"/>
          <w:spacing w:val="-14"/>
          <w:sz w:val="28"/>
          <w:u w:val="single" w:color="FF0000"/>
        </w:rPr>
        <w:t>19</w:t>
      </w:r>
      <w:r>
        <w:rPr>
          <w:rFonts w:ascii="楷体_GB2312" w:eastAsia="楷体_GB2312" w:hint="eastAsia"/>
          <w:spacing w:val="-14"/>
          <w:sz w:val="28"/>
          <w:u w:val="single" w:color="FF0000"/>
        </w:rPr>
        <w:t>日</w:t>
      </w:r>
    </w:p>
    <w:p w14:paraId="28F86836" w14:textId="77777777" w:rsidR="00404454" w:rsidRDefault="00404454">
      <w:pPr>
        <w:pStyle w:val="2"/>
        <w:widowControl w:val="0"/>
      </w:pPr>
    </w:p>
    <w:p w14:paraId="5CC29809" w14:textId="77777777" w:rsidR="0040445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304F88DB"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市国资委系统各企业有力有序推进学习贯彻习近平</w:t>
      </w:r>
    </w:p>
    <w:p w14:paraId="76420F80" w14:textId="77777777" w:rsidR="00404454"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新时代中国特色社会主义思想主题教育</w:t>
      </w:r>
    </w:p>
    <w:p w14:paraId="5F598873" w14:textId="77777777" w:rsidR="00404454"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近日，市国资委系统企业持续深入推进学习贯彻习近平新时代中国特色社会主义思想主题教育。</w:t>
      </w:r>
    </w:p>
    <w:p w14:paraId="08D493CD"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上海联交所</w:t>
      </w:r>
      <w:r>
        <w:rPr>
          <w:rFonts w:ascii="Times New Roman" w:eastAsia="仿宋_GB2312" w:hAnsi="Times New Roman" w:hint="eastAsia"/>
          <w:sz w:val="32"/>
          <w:szCs w:val="32"/>
          <w:lang w:bidi="ar"/>
        </w:rPr>
        <w:t>以推动联交所高质量发展的新成效检验主题教育成果，将紧紧围绕中心、服务大局，把主题教育同服务国资国企改革发展、服务全国统一大市场建设、服务“双碳”战略落地、服务上海国际金融中心和全球科创中心建设、服务全市“一网交易”改革等中心任务和重点工作结合起来，对主题教育中的好经验、好做法，用制度形式加以固定，并同步强化宣传引导，使学思想、建新功成为党员干部的思想自觉和行为自觉。</w:t>
      </w:r>
    </w:p>
    <w:p w14:paraId="5E36C1CA"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农投集团</w:t>
      </w:r>
      <w:r>
        <w:rPr>
          <w:rFonts w:ascii="Times New Roman" w:eastAsia="仿宋_GB2312" w:hAnsi="Times New Roman" w:hint="eastAsia"/>
          <w:sz w:val="32"/>
          <w:szCs w:val="32"/>
          <w:lang w:bidi="ar"/>
        </w:rPr>
        <w:t>准确把握开展主题教育的目标任务，将把高质量开展主题教育作为当前首要政治任务，把学和做结合起来，把查和改贯通起来，把破和立统一起来；紧密联系集团工作开展主题教育的特点实际，增强针对性，将主题教育同落实党的二十大关于农业强国建设的战略部署相结合，同加快推进推动上海都市现代农业发展相结合，主动服务支撑中国式现代化，奋力谱写新时代中国式上海现代化农业园区建设发展新篇。</w:t>
      </w:r>
    </w:p>
    <w:p w14:paraId="75B54390"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东方枢纽集团</w:t>
      </w:r>
      <w:r>
        <w:rPr>
          <w:rFonts w:ascii="Times New Roman" w:eastAsia="仿宋_GB2312" w:hAnsi="Times New Roman" w:hint="eastAsia"/>
          <w:sz w:val="32"/>
          <w:szCs w:val="32"/>
          <w:lang w:bidi="ar"/>
        </w:rPr>
        <w:t>在习近平新时代中国特色社会主义思想中汲取“起步就是冲刺、开局就是决战”的进取精神和担当意识，坚持用党的科学理论和斗争精神武装头脑、指导实践，以高质量党建引领保障集团高质量发展，结合上海东站重大工程建设任务，加快将上海东站打造为“新时代国际开放门户枢纽新标杆”。</w:t>
      </w:r>
    </w:p>
    <w:p w14:paraId="45EDDBB4"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浦发银行</w:t>
      </w:r>
      <w:r>
        <w:rPr>
          <w:rFonts w:ascii="Times New Roman" w:eastAsia="仿宋_GB2312" w:hAnsi="Times New Roman" w:hint="eastAsia"/>
          <w:sz w:val="32"/>
          <w:szCs w:val="32"/>
          <w:lang w:bidi="ar"/>
        </w:rPr>
        <w:t>把开展主题教育与贯彻落实党中央决策部署、国家重大战略和上海重大任务结合起来，与落实总行党委全年工作要点结合起来，与落实全行各项经营发展任务结合起来，做到两手抓、两促进，同题共答，建章立制巩固成果，形成“浦发经验”，认真落实“四责协同”机制，全面扛起主题教育的主体责任，加强正面引导，营造良好氛围。</w:t>
      </w:r>
    </w:p>
    <w:p w14:paraId="511273E9"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突出“体现实的导向、突出实的要求、努力做得更实”，努力在以学铸魂、以学增智、以学正风、以学促</w:t>
      </w:r>
      <w:r>
        <w:rPr>
          <w:rFonts w:ascii="Times New Roman" w:eastAsia="仿宋_GB2312" w:hAnsi="Times New Roman" w:hint="eastAsia"/>
          <w:sz w:val="32"/>
          <w:szCs w:val="32"/>
          <w:lang w:bidi="ar"/>
        </w:rPr>
        <w:lastRenderedPageBreak/>
        <w:t>干方面取得实实在在的成效，更加准确把握党和国家事业发展的战略安排和目标任务，以高质量党建引领上海银行可持续高质量发展，以全行可持续高质量发展为推进中国式现代化贡献力量。</w:t>
      </w:r>
    </w:p>
    <w:p w14:paraId="4BF5A496"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上海农商银行</w:t>
      </w:r>
      <w:r>
        <w:rPr>
          <w:rFonts w:ascii="Times New Roman" w:eastAsia="仿宋_GB2312" w:hAnsi="Times New Roman" w:hint="eastAsia"/>
          <w:sz w:val="32"/>
          <w:szCs w:val="32"/>
          <w:lang w:bidi="ar"/>
        </w:rPr>
        <w:t>将按照党中央和市委部署，牢牢把握主题教育的总要求，高质量高标准开展主题教育，切实加强组织领导，深入调查研究，强化责任担当，积极主动作为，发挥作为上海地区城乡金融服务的排头兵和主力军作用，践行“人民金融”重要理念，以普惠金融的高质量发展更好地服务上海、服务社会，努力打造更加包容、更具温度、更有担当的银行。</w:t>
      </w:r>
    </w:p>
    <w:p w14:paraId="29B7DA65"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坚持金融工作的政治性和人民性，更好服务实体经济高质量发展和满足人民财富管理需求，深入推进行业文化建设，全面培育“科创金融、普惠金融、区域金融、绿色金融、跨境金融”五大优势，当好中国特色现代资本市场建设最佳实践者，开列“学习清单”，落实“调研清单”，形成“成果清单”，销号“问题清单”，运用“整改清单”，做实检视整改，强化常态长效，坚持分类整改与集中整治相结合，抓好突出问题的整改整治。</w:t>
      </w:r>
    </w:p>
    <w:p w14:paraId="0D422E9C"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海通证券</w:t>
      </w:r>
      <w:r>
        <w:rPr>
          <w:rFonts w:ascii="Times New Roman" w:eastAsia="仿宋_GB2312" w:hAnsi="Times New Roman" w:hint="eastAsia"/>
          <w:sz w:val="32"/>
          <w:szCs w:val="32"/>
          <w:lang w:bidi="ar"/>
        </w:rPr>
        <w:t>坚持不懈用习近平总书记重要思想凝心铸魂，在贯彻国家战略、落实上海任务、服务实体经济中展现海通人的担当，聚焦公司主责主业，发挥综合金融服务优势，持</w:t>
      </w:r>
      <w:r>
        <w:rPr>
          <w:rFonts w:ascii="Times New Roman" w:eastAsia="仿宋_GB2312" w:hAnsi="Times New Roman" w:hint="eastAsia"/>
          <w:sz w:val="32"/>
          <w:szCs w:val="32"/>
          <w:lang w:bidi="ar"/>
        </w:rPr>
        <w:lastRenderedPageBreak/>
        <w:t>续加大“四个重点”投入，践行“金融为民”使命，注重能力提升，充分发挥“投、融、保、研”和财富管理业务联动优势，在服务实体经济、防控金融风险、深化金融改革，推动中国特色现代资本市场发展中，打造海通综合金融服务品牌。</w:t>
      </w:r>
    </w:p>
    <w:p w14:paraId="3F02C8F3"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上汽集团</w:t>
      </w:r>
      <w:r>
        <w:rPr>
          <w:rFonts w:ascii="Times New Roman" w:eastAsia="仿宋_GB2312" w:hAnsi="Times New Roman" w:hint="eastAsia"/>
          <w:sz w:val="32"/>
          <w:szCs w:val="32"/>
          <w:lang w:bidi="ar"/>
        </w:rPr>
        <w:t>瞄准建设世界一流车企的目标，有力有序推进主题教育，把理论学习、调查研究、推动发展、检视整改等贯通起来，有机融合，一体推进，从品牌定位、核心能力、成本管控、组织架构、激励考核等方面，锚定奋斗目标、优化发展战略、变革体制机制，努力实现突围“育新机”、破局“开新局”，全力推动上汽集团在新赛道上的转型升级和高质量发展。</w:t>
      </w:r>
    </w:p>
    <w:p w14:paraId="68E3E78B"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上海电气</w:t>
      </w:r>
      <w:r>
        <w:rPr>
          <w:rFonts w:ascii="Times New Roman" w:eastAsia="仿宋_GB2312" w:hAnsi="Times New Roman" w:hint="eastAsia"/>
          <w:sz w:val="32"/>
          <w:szCs w:val="32"/>
          <w:lang w:bidi="ar"/>
        </w:rPr>
        <w:t>确保方向不偏、标准不降、力度不减，积极主动推动主题教育深入开展，以解决企业实际问题、推动高质量发展作为检验主题教育成效的最终标准，在开展主题教育中体现“电气特色”，多出“电气经验”，既保证主题教育的进度和力度，又要抓好全面从严治党和企业经营发展的各项重点任务。</w:t>
      </w:r>
    </w:p>
    <w:p w14:paraId="0A36B476"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上实集团</w:t>
      </w:r>
      <w:r>
        <w:rPr>
          <w:rFonts w:ascii="Times New Roman" w:eastAsia="仿宋_GB2312" w:hAnsi="Times New Roman" w:hint="eastAsia"/>
          <w:sz w:val="32"/>
          <w:szCs w:val="32"/>
          <w:lang w:bidi="ar"/>
        </w:rPr>
        <w:t>将把开展主题教育作为当前集团重大政治任务，切实将“实”的导向贯穿始终，将开展主题教育与巡视整改相结合、与开展好“学贯二十大、争创双一流”党建主题活动相结合、与完成年度既定经营目标任务相结合，抓实</w:t>
      </w:r>
      <w:r>
        <w:rPr>
          <w:rFonts w:ascii="Times New Roman" w:eastAsia="仿宋_GB2312" w:hAnsi="Times New Roman" w:hint="eastAsia"/>
          <w:sz w:val="32"/>
          <w:szCs w:val="32"/>
          <w:lang w:bidi="ar"/>
        </w:rPr>
        <w:lastRenderedPageBreak/>
        <w:t>抓细抓出成效；坚持以上率下，切实以高质量发展成果检验主题教育成效，推动重大项目落地见效、推进疑难复杂问题解决，以集团改革发展实绩检验主题教育成效。</w:t>
      </w:r>
    </w:p>
    <w:p w14:paraId="6FB5DB18"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申能集团</w:t>
      </w:r>
      <w:r>
        <w:rPr>
          <w:rFonts w:ascii="Times New Roman" w:eastAsia="仿宋_GB2312" w:hAnsi="Times New Roman" w:hint="eastAsia"/>
          <w:sz w:val="32"/>
          <w:szCs w:val="32"/>
          <w:lang w:bidi="ar"/>
        </w:rPr>
        <w:t>统一思想、提高站位，切实增强开展主题教育的政治自觉；真抓实干、务求实效，把“实”的要求贯穿主题教育始终，系统把握党的二十大赋予综合性能源企业的新使命新任务新要求，进一步认真贯彻落实习近平总书记对本行业本领域的重要指示批示精神，围绕中央、市委的战略部署和重点任务找差距、抓落实；精心组织、创新方式，加强对主题教育的领导和实施，切实提高用党的最新理论成果指导实践、推动发展的能力水平。（上海市国资委）</w:t>
      </w:r>
    </w:p>
    <w:p w14:paraId="2EA32BD2" w14:textId="77777777" w:rsidR="00404454" w:rsidRDefault="00404454">
      <w:pPr>
        <w:pStyle w:val="20"/>
        <w:ind w:left="480" w:firstLine="640"/>
        <w:rPr>
          <w:rFonts w:ascii="Times New Roman" w:hAnsi="Times New Roman"/>
          <w:szCs w:val="32"/>
          <w:lang w:bidi="ar"/>
        </w:rPr>
      </w:pPr>
    </w:p>
    <w:p w14:paraId="44D4D3C2" w14:textId="77777777" w:rsidR="0040445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33CC835B"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上海农商银行协同科技企业孵化器</w:t>
      </w:r>
    </w:p>
    <w:p w14:paraId="47D817A5" w14:textId="77777777" w:rsidR="0040445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全力支持科创企业发展</w:t>
      </w:r>
    </w:p>
    <w:p w14:paraId="480FE9C3" w14:textId="77777777" w:rsidR="00404454"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上海农商银行不断探索金融支持科技创新，以“科创更前、科技更全、科研更先”为导向，积极加强与科技企业孵化器的合作，围绕科创企业的金融需求靠前发力，通过拓展孵化器朋友圈、搭建孵化器专营机构、深化产品与服务创新等举措全力支持科创企业发展。</w:t>
      </w:r>
    </w:p>
    <w:p w14:paraId="2587A8FF"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金融靠前发力，拓展孵化器朋友圈。</w:t>
      </w:r>
      <w:r>
        <w:rPr>
          <w:rFonts w:ascii="Times New Roman" w:eastAsia="仿宋_GB2312" w:hAnsi="Times New Roman" w:hint="eastAsia"/>
          <w:sz w:val="32"/>
          <w:szCs w:val="32"/>
          <w:lang w:bidi="ar"/>
        </w:rPr>
        <w:t>近年来，为了践行“投早、投小、投硬科技”理念，更好地支持创新链产业链源头的发展，上海农商银行积极将金融服务前移，并在</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初于总行投资银行部内部设立孵化器专业团队，旨在研究孵化器业务合作模式并搭建孵化器项目渠道。以“上海市科技创新创业载体培育体系的科技企业孵化器名单”为抓手，上海农商银行积极拓展“孵化器”朋友圈，将实现名单内孵化器触达全覆盖，并与其中重点产业型孵化器建立深度合作关系，包括生物医药、人工智能、信息技术等。</w:t>
      </w:r>
    </w:p>
    <w:p w14:paraId="606AF93B"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搭建专营机构，强化专业经营能力。</w:t>
      </w:r>
      <w:r>
        <w:rPr>
          <w:rFonts w:ascii="Times New Roman" w:eastAsia="仿宋_GB2312" w:hAnsi="Times New Roman" w:hint="eastAsia"/>
          <w:sz w:val="32"/>
          <w:szCs w:val="32"/>
          <w:lang w:bidi="ar"/>
        </w:rPr>
        <w:t>上海农商银行积极响应政策号召，升级科技金融专营机构体系，以专营机构为载体带动专业人才培养、专属评价体系创设、行业研究能力提升、风险管理逻辑重塑等工作，进而提升对孵化器、科研院所、高校等机构所孵化科创企业的服务能力。</w:t>
      </w:r>
      <w:r>
        <w:rPr>
          <w:rFonts w:ascii="楷体" w:eastAsia="楷体" w:hAnsi="楷体" w:cs="楷体" w:hint="eastAsia"/>
          <w:b/>
          <w:bCs/>
          <w:sz w:val="32"/>
          <w:szCs w:val="32"/>
          <w:lang w:bidi="ar"/>
        </w:rPr>
        <w:t>组织架构方面</w:t>
      </w:r>
      <w:r>
        <w:rPr>
          <w:rFonts w:ascii="Times New Roman" w:eastAsia="仿宋_GB2312" w:hAnsi="Times New Roman" w:hint="eastAsia"/>
          <w:sz w:val="32"/>
          <w:szCs w:val="32"/>
          <w:lang w:bidi="ar"/>
        </w:rPr>
        <w:t>，依托于上海市首家科技金融专营支行——张江科技支行的成功经验，在总行层面探索推进科技金融事业部试点，并在大零号湾、漕河泾开发区等上海市科技创新重要承载区内打造一批科技金融特色支行，未来将重点开拓孵化器及成果转化相关业务。</w:t>
      </w:r>
      <w:r>
        <w:rPr>
          <w:rFonts w:ascii="楷体" w:eastAsia="楷体" w:hAnsi="楷体" w:cs="楷体" w:hint="eastAsia"/>
          <w:b/>
          <w:bCs/>
          <w:sz w:val="32"/>
          <w:szCs w:val="32"/>
          <w:lang w:bidi="ar"/>
        </w:rPr>
        <w:t>配套机制方面</w:t>
      </w:r>
      <w:r>
        <w:rPr>
          <w:rFonts w:ascii="Times New Roman" w:eastAsia="仿宋_GB2312" w:hAnsi="Times New Roman" w:hint="eastAsia"/>
          <w:sz w:val="32"/>
          <w:szCs w:val="32"/>
          <w:lang w:bidi="ar"/>
        </w:rPr>
        <w:t>，针对科技创新链条特点以及早期科创企业风险特征，创设孵化器在孵企业专属评价体系，该评价体系由上海农商银行与外部专业机构共同开发，包含</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大模块、</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个评价维度、</w:t>
      </w:r>
      <w:r>
        <w:rPr>
          <w:rFonts w:ascii="Times New Roman" w:eastAsia="仿宋_GB2312" w:hAnsi="Times New Roman" w:hint="eastAsia"/>
          <w:sz w:val="32"/>
          <w:szCs w:val="32"/>
          <w:lang w:bidi="ar"/>
        </w:rPr>
        <w:t>116</w:t>
      </w:r>
      <w:r>
        <w:rPr>
          <w:rFonts w:ascii="Times New Roman" w:eastAsia="仿宋_GB2312" w:hAnsi="Times New Roman" w:hint="eastAsia"/>
          <w:sz w:val="32"/>
          <w:szCs w:val="32"/>
          <w:lang w:bidi="ar"/>
        </w:rPr>
        <w:t>条评分选项，目前已投</w:t>
      </w:r>
      <w:r>
        <w:rPr>
          <w:rFonts w:ascii="Times New Roman" w:eastAsia="仿宋_GB2312" w:hAnsi="Times New Roman" w:hint="eastAsia"/>
          <w:sz w:val="32"/>
          <w:szCs w:val="32"/>
          <w:lang w:bidi="ar"/>
        </w:rPr>
        <w:lastRenderedPageBreak/>
        <w:t>入使用；此外，在差异化授权、特色化考核方面给予孵化器业务更大自主权。</w:t>
      </w:r>
    </w:p>
    <w:p w14:paraId="02E827ED" w14:textId="77777777" w:rsidR="0040445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深化产品创新，提升科创服务能级。</w:t>
      </w:r>
      <w:r>
        <w:rPr>
          <w:rFonts w:ascii="Times New Roman" w:eastAsia="仿宋_GB2312" w:hAnsi="Times New Roman" w:hint="eastAsia"/>
          <w:sz w:val="32"/>
          <w:szCs w:val="32"/>
          <w:lang w:bidi="ar"/>
        </w:rPr>
        <w:t>根据孵化器及其在孵企业的发展特点和金融服务需求，上海农商银行持续深化产品与服务创新，出台《上海农商银行孵化器及科创企业综合金融服务方案》，分别针对孵化器、在孵企业、在孵企业创始人的综合金融需求制定服务方案，以“贷款</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认股权”“知识产权质押融资”等为核心产品，解决孵化器及其相关主体的差异化金融需求。除了金融支持之外，上海农商银行积极提升对科创企业的综合赋能能力，</w:t>
      </w:r>
      <w:r>
        <w:rPr>
          <w:rFonts w:ascii="Times New Roman" w:eastAsia="仿宋_GB2312" w:hAnsi="Times New Roman" w:hint="eastAsia"/>
          <w:sz w:val="32"/>
          <w:szCs w:val="32"/>
          <w:lang w:bidi="ar"/>
        </w:rPr>
        <w:t>2018</w:t>
      </w:r>
      <w:r>
        <w:rPr>
          <w:rFonts w:ascii="Times New Roman" w:eastAsia="仿宋_GB2312" w:hAnsi="Times New Roman" w:hint="eastAsia"/>
          <w:sz w:val="32"/>
          <w:szCs w:val="32"/>
          <w:lang w:bidi="ar"/>
        </w:rPr>
        <w:t>年推出“鑫动能”战略新兴客户培育计划，</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年升级推出“鑫动能”</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服务方案，该方案以“五专服务</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六维赋能”为核心，通过成立科创金融合作生态圈——“鑫生态”，为科创企业提供产业整合、政策对接、投资引荐、专业辅导、人才管理、金融科技等“融智”服务。</w:t>
      </w:r>
    </w:p>
    <w:p w14:paraId="1F505A42" w14:textId="77777777" w:rsidR="00404454"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未来，上海农商银行将继续以专业的金融服务助力实体经济发展，大力支持孵化器、科研院所、高校等创新载体，全力服务早期科创企业发展，推动上海科创中心核心功能再上新阶。（上海农商银行）</w:t>
      </w:r>
    </w:p>
    <w:p w14:paraId="68A3616E" w14:textId="77777777" w:rsidR="00404454" w:rsidRDefault="00404454">
      <w:pPr>
        <w:pStyle w:val="20"/>
        <w:ind w:left="480" w:firstLine="640"/>
      </w:pPr>
    </w:p>
    <w:p w14:paraId="5EDDA66E" w14:textId="77777777" w:rsidR="00404454" w:rsidRDefault="00404454"/>
    <w:p w14:paraId="7846B242" w14:textId="77777777" w:rsidR="00404454" w:rsidRDefault="00404454">
      <w:pPr>
        <w:pStyle w:val="2"/>
      </w:pPr>
    </w:p>
    <w:p w14:paraId="4B31882F" w14:textId="77777777" w:rsidR="0040445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lastRenderedPageBreak/>
        <w:t>国企之窗</w:t>
      </w:r>
    </w:p>
    <w:p w14:paraId="464256CE"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以科技创新赋能绿色发展</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申能集团国内首套</w:t>
      </w:r>
    </w:p>
    <w:p w14:paraId="7A08ED9B"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世界最大冷能发电装置在沪并网试验成功</w:t>
      </w:r>
    </w:p>
    <w:p w14:paraId="43904C2B"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近日，申能集团旗下上海</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公司国内首套、目前世界上最大规模的冷能发电装置成功通过性能及可靠性试验，每年将可减少能耗近</w:t>
      </w:r>
      <w:r>
        <w:rPr>
          <w:rFonts w:ascii="Times New Roman" w:eastAsia="仿宋_GB2312" w:hAnsi="Times New Roman" w:hint="eastAsia"/>
          <w:sz w:val="32"/>
          <w:szCs w:val="32"/>
          <w:lang w:bidi="ar"/>
        </w:rPr>
        <w:t>7000</w:t>
      </w:r>
      <w:r>
        <w:rPr>
          <w:rFonts w:ascii="Times New Roman" w:eastAsia="仿宋_GB2312" w:hAnsi="Times New Roman" w:hint="eastAsia"/>
          <w:sz w:val="32"/>
          <w:szCs w:val="32"/>
          <w:lang w:bidi="ar"/>
        </w:rPr>
        <w:t>吨标煤，减少碳排放约</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万吨，既能保障洋山“能源岛”履行天然气安全保供职责，又通过能源综合利用发挥节能减排功效。</w:t>
      </w:r>
    </w:p>
    <w:p w14:paraId="11C6E704"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冷能发电装置为国内首套、目前世界上最大规模的冷能发电装置，设计年发电量</w:t>
      </w:r>
      <w:r>
        <w:rPr>
          <w:rFonts w:ascii="Times New Roman" w:eastAsia="仿宋_GB2312" w:hAnsi="Times New Roman" w:hint="eastAsia"/>
          <w:sz w:val="32"/>
          <w:szCs w:val="32"/>
          <w:lang w:bidi="ar"/>
        </w:rPr>
        <w:t>2400</w:t>
      </w:r>
      <w:r>
        <w:rPr>
          <w:rFonts w:ascii="Times New Roman" w:eastAsia="仿宋_GB2312" w:hAnsi="Times New Roman" w:hint="eastAsia"/>
          <w:sz w:val="32"/>
          <w:szCs w:val="32"/>
          <w:lang w:bidi="ar"/>
        </w:rPr>
        <w:t>万千瓦时，每年可减少能耗近</w:t>
      </w:r>
      <w:r>
        <w:rPr>
          <w:rFonts w:ascii="Times New Roman" w:eastAsia="仿宋_GB2312" w:hAnsi="Times New Roman" w:hint="eastAsia"/>
          <w:sz w:val="32"/>
          <w:szCs w:val="32"/>
          <w:lang w:bidi="ar"/>
        </w:rPr>
        <w:t>7000</w:t>
      </w:r>
      <w:r>
        <w:rPr>
          <w:rFonts w:ascii="Times New Roman" w:eastAsia="仿宋_GB2312" w:hAnsi="Times New Roman" w:hint="eastAsia"/>
          <w:sz w:val="32"/>
          <w:szCs w:val="32"/>
          <w:lang w:bidi="ar"/>
        </w:rPr>
        <w:t>吨标煤，减少碳排放约</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万吨。该装置不仅有效开发利用了多余冷能，也填补了我国在冷能发电领域的空白。</w:t>
      </w:r>
    </w:p>
    <w:p w14:paraId="16992C51"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冷能发电装置以</w:t>
      </w:r>
      <w:r>
        <w:rPr>
          <w:rFonts w:ascii="Times New Roman" w:eastAsia="仿宋_GB2312" w:hAnsi="Times New Roman" w:hint="eastAsia"/>
          <w:sz w:val="32"/>
          <w:szCs w:val="32"/>
          <w:lang w:bidi="ar"/>
        </w:rPr>
        <w:t>IFV</w:t>
      </w:r>
      <w:r>
        <w:rPr>
          <w:rFonts w:ascii="Times New Roman" w:eastAsia="仿宋_GB2312" w:hAnsi="Times New Roman" w:hint="eastAsia"/>
          <w:sz w:val="32"/>
          <w:szCs w:val="32"/>
          <w:lang w:bidi="ar"/>
        </w:rPr>
        <w:t>气化器中间介质丙烷为工作介质，利用</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的优质低温冷能和海水的低品位热能产生电能，在常规一体式</w:t>
      </w:r>
      <w:r>
        <w:rPr>
          <w:rFonts w:ascii="Times New Roman" w:eastAsia="仿宋_GB2312" w:hAnsi="Times New Roman" w:hint="eastAsia"/>
          <w:sz w:val="32"/>
          <w:szCs w:val="32"/>
          <w:lang w:bidi="ar"/>
        </w:rPr>
        <w:t>IFV</w:t>
      </w:r>
      <w:r>
        <w:rPr>
          <w:rFonts w:ascii="Times New Roman" w:eastAsia="仿宋_GB2312" w:hAnsi="Times New Roman" w:hint="eastAsia"/>
          <w:sz w:val="32"/>
          <w:szCs w:val="32"/>
          <w:lang w:bidi="ar"/>
        </w:rPr>
        <w:t>气化器的基础上，将以海水为热源的丙烷蒸发器和以</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为冷源的丙烷冷凝器这两个换热器分离设置，增加丙烷泵增压，增加透平发电机组利用丙烷蒸汽膨胀降压降温，由此构成丙烷的闭路朗肯循环。冷能发电装置可在每小时气化</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吨</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的基础上利用冷能发电</w:t>
      </w:r>
      <w:r>
        <w:rPr>
          <w:rFonts w:ascii="Times New Roman" w:eastAsia="仿宋_GB2312" w:hAnsi="Times New Roman" w:hint="eastAsia"/>
          <w:sz w:val="32"/>
          <w:szCs w:val="32"/>
          <w:lang w:bidi="ar"/>
        </w:rPr>
        <w:t>3000</w:t>
      </w:r>
      <w:r>
        <w:rPr>
          <w:rFonts w:ascii="Times New Roman" w:eastAsia="仿宋_GB2312" w:hAnsi="Times New Roman" w:hint="eastAsia"/>
          <w:sz w:val="32"/>
          <w:szCs w:val="32"/>
          <w:lang w:bidi="ar"/>
        </w:rPr>
        <w:t>千瓦左右，既履行安全保供基本职责，又通过能源</w:t>
      </w:r>
      <w:r>
        <w:rPr>
          <w:rFonts w:ascii="Times New Roman" w:eastAsia="仿宋_GB2312" w:hAnsi="Times New Roman" w:hint="eastAsia"/>
          <w:sz w:val="32"/>
          <w:szCs w:val="32"/>
          <w:lang w:bidi="ar"/>
        </w:rPr>
        <w:lastRenderedPageBreak/>
        <w:t>综合利用发挥节能减排功效。</w:t>
      </w:r>
    </w:p>
    <w:p w14:paraId="0D45EB2F"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冷能发电作为可再生能源发电并网项目，已有相应的开发方法，具备潜在</w:t>
      </w:r>
      <w:r>
        <w:rPr>
          <w:rFonts w:ascii="Times New Roman" w:eastAsia="仿宋_GB2312" w:hAnsi="Times New Roman" w:hint="eastAsia"/>
          <w:sz w:val="32"/>
          <w:szCs w:val="32"/>
          <w:lang w:bidi="ar"/>
        </w:rPr>
        <w:t>CCER</w:t>
      </w:r>
      <w:r>
        <w:rPr>
          <w:rFonts w:ascii="Times New Roman" w:eastAsia="仿宋_GB2312" w:hAnsi="Times New Roman" w:hint="eastAsia"/>
          <w:sz w:val="32"/>
          <w:szCs w:val="32"/>
          <w:lang w:bidi="ar"/>
        </w:rPr>
        <w:t>（中国核证自愿减排量）开发资源，上海</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公司还将深挖项目的经济和减排价值，在行业内形成示范效应，助力国家和上海“双碳”目标实现。（申能集团）</w:t>
      </w:r>
    </w:p>
    <w:p w14:paraId="4E5C0FB0" w14:textId="77777777" w:rsidR="00404454" w:rsidRDefault="00404454">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3CD2B3D2" w14:textId="77777777" w:rsidR="0040445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隧道股份以“国内首创”助力城市供气效能提升</w:t>
      </w:r>
    </w:p>
    <w:p w14:paraId="7A4953CE"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近日，由隧道股份上海能建承担的国内首个建设在大型液化天然气（</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）接收站内的天然气门站项目——深圳市迭福北天然气门站及出站管线工程的可行性研究报告顺利通过专家评审并获得行业专家的高度认可与评价。</w:t>
      </w:r>
    </w:p>
    <w:p w14:paraId="6A2101D7"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液化天然气（</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）作为一种清洁、高效的能源，是许多城市的重要能源供给来源之一。储罐中的液化天然气温度往往在</w:t>
      </w:r>
      <w:r>
        <w:rPr>
          <w:rFonts w:ascii="Times New Roman" w:eastAsia="仿宋_GB2312" w:hAnsi="Times New Roman" w:hint="eastAsia"/>
          <w:sz w:val="32"/>
          <w:szCs w:val="32"/>
          <w:lang w:bidi="ar"/>
        </w:rPr>
        <w:t>-160</w:t>
      </w:r>
      <w:r>
        <w:rPr>
          <w:rFonts w:ascii="Times New Roman" w:eastAsia="仿宋_GB2312" w:hAnsi="Times New Roman" w:hint="eastAsia"/>
          <w:sz w:val="32"/>
          <w:szCs w:val="32"/>
          <w:lang w:bidi="ar"/>
        </w:rPr>
        <w:t>℃以下，需要专门的“解压工坊”对液化天然气“解压缩”后，才能输配至城市中的千家万户。天然气门站是天然气进入城市千家万户的“配送站”，具有将液化天然气气化，并进行检测、过滤、计量、分配等功能，相当于把液化天然气“压缩包”进行“解压缩”后，精准输配至市民家中。</w:t>
      </w:r>
    </w:p>
    <w:p w14:paraId="0F5086A0"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在深圳市迭福北天然气门站项目中，隧道股份上海能建</w:t>
      </w:r>
      <w:r>
        <w:rPr>
          <w:rFonts w:ascii="Times New Roman" w:eastAsia="仿宋_GB2312" w:hAnsi="Times New Roman" w:hint="eastAsia"/>
          <w:sz w:val="32"/>
          <w:szCs w:val="32"/>
          <w:lang w:bidi="ar"/>
        </w:rPr>
        <w:lastRenderedPageBreak/>
        <w:t>以深圳迭福北</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接收站为基础，在站内建设迭福北天然气门站并联通下游管网，从而覆盖深圳全域天然气市场，相当于将</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站与天然气门站“二合一”——即通过合建站的方式使</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接收站直接连通本地城燃管网，既节约了建设用地，减少了中间贸易环节，又提高了接收站的利用率和供气保障能力。（隧道股份）</w:t>
      </w:r>
    </w:p>
    <w:p w14:paraId="1F4962B9" w14:textId="77777777" w:rsidR="00404454" w:rsidRDefault="00404454">
      <w:pPr>
        <w:pStyle w:val="2"/>
      </w:pPr>
    </w:p>
    <w:p w14:paraId="5D5D0854"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上港集团以色列公司开门红</w:t>
      </w:r>
    </w:p>
    <w:p w14:paraId="55157666" w14:textId="77777777" w:rsidR="0040445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“以色列海法新港”首季业绩向好</w:t>
      </w:r>
    </w:p>
    <w:p w14:paraId="336C18DF"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近日，上港集团以色列公司在海法新港一季度累计完成集装箱吞吐量</w:t>
      </w:r>
      <w:r>
        <w:rPr>
          <w:rFonts w:ascii="Times New Roman" w:eastAsia="仿宋_GB2312" w:hAnsi="Times New Roman" w:hint="eastAsia"/>
          <w:sz w:val="32"/>
          <w:szCs w:val="32"/>
          <w:lang w:bidi="ar"/>
        </w:rPr>
        <w:t>222887</w:t>
      </w:r>
      <w:r>
        <w:rPr>
          <w:rFonts w:ascii="Times New Roman" w:eastAsia="仿宋_GB2312" w:hAnsi="Times New Roman" w:hint="eastAsia"/>
          <w:sz w:val="32"/>
          <w:szCs w:val="32"/>
          <w:lang w:bidi="ar"/>
        </w:rPr>
        <w:t>标准箱，</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月份完成</w:t>
      </w:r>
      <w:r>
        <w:rPr>
          <w:rFonts w:ascii="Times New Roman" w:eastAsia="仿宋_GB2312" w:hAnsi="Times New Roman" w:hint="eastAsia"/>
          <w:sz w:val="32"/>
          <w:szCs w:val="32"/>
          <w:lang w:bidi="ar"/>
        </w:rPr>
        <w:t>85200</w:t>
      </w:r>
      <w:r>
        <w:rPr>
          <w:rFonts w:ascii="Times New Roman" w:eastAsia="仿宋_GB2312" w:hAnsi="Times New Roman" w:hint="eastAsia"/>
          <w:sz w:val="32"/>
          <w:szCs w:val="32"/>
          <w:lang w:bidi="ar"/>
        </w:rPr>
        <w:t>标准箱，创开港以来的集装箱单月箱量新高，并提前超额完成季度箱量指标的</w:t>
      </w:r>
      <w:r>
        <w:rPr>
          <w:rFonts w:ascii="Times New Roman" w:eastAsia="仿宋_GB2312" w:hAnsi="Times New Roman" w:hint="eastAsia"/>
          <w:sz w:val="32"/>
          <w:szCs w:val="32"/>
          <w:lang w:bidi="ar"/>
        </w:rPr>
        <w:t>137.28%</w:t>
      </w:r>
      <w:r>
        <w:rPr>
          <w:rFonts w:ascii="Times New Roman" w:eastAsia="仿宋_GB2312" w:hAnsi="Times New Roman" w:hint="eastAsia"/>
          <w:sz w:val="32"/>
          <w:szCs w:val="32"/>
          <w:lang w:bidi="ar"/>
        </w:rPr>
        <w:t>，取得了首季开门红的好成绩。</w:t>
      </w:r>
    </w:p>
    <w:p w14:paraId="5502F97A"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以色列公司紧紧围绕公司提出的任务目标，不断提升海法新港码头运营管理水平，充分发挥控制室在码头运营中的指挥中心作用，高质量提升船舶周转率。公司全体员工克服当地民众使用游艇、帆船等水上交通工具干扰航道、阻碍船舶航行等不可控因素，及时根据天气变化调整船舶计划，确定作业方案，为确保集装箱船舶正常作业提供了保障。</w:t>
      </w:r>
    </w:p>
    <w:p w14:paraId="6E29AEAF"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同时，公司充分落实集团“抓早、抓紧、抓快推进各项工作”的要求，以“多做一箱也是贡献”的精神，增强市场</w:t>
      </w:r>
      <w:r>
        <w:rPr>
          <w:rFonts w:ascii="Times New Roman" w:eastAsia="仿宋_GB2312" w:hAnsi="Times New Roman" w:hint="eastAsia"/>
          <w:sz w:val="32"/>
          <w:szCs w:val="32"/>
          <w:lang w:bidi="ar"/>
        </w:rPr>
        <w:lastRenderedPageBreak/>
        <w:t>意识，细化工作方案，精准靶向攻坚，稳存量促增量，加快塑造“中国品牌，中国服务”的良好形象。</w:t>
      </w:r>
    </w:p>
    <w:p w14:paraId="501F68F5" w14:textId="77777777" w:rsidR="0040445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新年新局面，以色列公司紧紧围绕“贯彻新发展理念，实现高质量发展”的工作主线，不断克服外部环境的影响，加快提升服务能级，加快培育新航线，扎实推进在服务、技术上的领先地位，助力以色列海法新港真正成为东地中海顶级枢纽港口、智慧绿色港口、安全韧性港口，力争在新的一年里取得更加出色的成绩。（上港集团）</w:t>
      </w:r>
    </w:p>
    <w:p w14:paraId="600A62BB" w14:textId="77777777" w:rsidR="00404454" w:rsidRDefault="00404454">
      <w:pPr>
        <w:pStyle w:val="2"/>
      </w:pPr>
    </w:p>
    <w:sectPr w:rsidR="0040445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549F" w14:textId="77777777" w:rsidR="00965861" w:rsidRDefault="00965861">
      <w:r>
        <w:separator/>
      </w:r>
    </w:p>
  </w:endnote>
  <w:endnote w:type="continuationSeparator" w:id="0">
    <w:p w14:paraId="2449490D" w14:textId="77777777" w:rsidR="00965861" w:rsidRDefault="009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2ECFCECA" w14:textId="77777777" w:rsidR="0040445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53CF871" w14:textId="77777777" w:rsidR="00404454" w:rsidRDefault="004044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7C16F4FF" w14:textId="77777777" w:rsidR="0040445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17C1E64E" w14:textId="77777777" w:rsidR="00404454" w:rsidRDefault="004044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9713" w14:textId="77777777" w:rsidR="00965861" w:rsidRDefault="00965861">
      <w:r>
        <w:separator/>
      </w:r>
    </w:p>
  </w:footnote>
  <w:footnote w:type="continuationSeparator" w:id="0">
    <w:p w14:paraId="592B1295" w14:textId="77777777" w:rsidR="00965861" w:rsidRDefault="0096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7620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04454"/>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65861"/>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AE55BF"/>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2530C1"/>
  <w15:docId w15:val="{6A9CB49A-2DB8-8A48-AA7C-4D98B9B3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2023-05-09T09:59:00Z</cp:lastPrinted>
  <dcterms:created xsi:type="dcterms:W3CDTF">2022-12-28T17:47:00Z</dcterms:created>
  <dcterms:modified xsi:type="dcterms:W3CDTF">2023-05-19T06:54:00Z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7AB509AD04C428630D3D1D64934C9A70</vt:lpwstr>
  </property>
</Properties>
</file>