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DD49" w14:textId="77777777" w:rsidR="00F72B1B"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3B01074C" w14:textId="77777777" w:rsidR="00F72B1B" w:rsidRDefault="00000000">
      <w:pPr>
        <w:widowControl w:val="0"/>
        <w:spacing w:line="480" w:lineRule="exact"/>
        <w:ind w:rightChars="-42" w:right="-101"/>
        <w:jc w:val="center"/>
        <w:rPr>
          <w:b/>
          <w:sz w:val="32"/>
        </w:rPr>
      </w:pPr>
      <w:r>
        <w:rPr>
          <w:rFonts w:hint="eastAsia"/>
          <w:b/>
          <w:sz w:val="32"/>
        </w:rPr>
        <w:t>第13期</w:t>
      </w:r>
    </w:p>
    <w:p w14:paraId="3181B6EB" w14:textId="77777777" w:rsidR="00F72B1B" w:rsidRDefault="00F72B1B">
      <w:pPr>
        <w:widowControl w:val="0"/>
        <w:spacing w:line="480" w:lineRule="exact"/>
        <w:ind w:rightChars="-42" w:right="-101"/>
        <w:jc w:val="center"/>
        <w:rPr>
          <w:b/>
          <w:sz w:val="32"/>
        </w:rPr>
      </w:pPr>
    </w:p>
    <w:p w14:paraId="585313B6" w14:textId="77777777" w:rsidR="00F72B1B"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06280BC1" w14:textId="2721D978" w:rsidR="00F72B1B"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23年4月</w:t>
      </w:r>
      <w:r w:rsidR="00F52F20">
        <w:rPr>
          <w:rFonts w:ascii="楷体_GB2312" w:eastAsia="楷体_GB2312"/>
          <w:spacing w:val="-14"/>
          <w:sz w:val="28"/>
          <w:u w:val="single" w:color="FF0000"/>
        </w:rPr>
        <w:t>17</w:t>
      </w:r>
      <w:r>
        <w:rPr>
          <w:rFonts w:ascii="楷体_GB2312" w:eastAsia="楷体_GB2312" w:hint="eastAsia"/>
          <w:spacing w:val="-14"/>
          <w:sz w:val="28"/>
          <w:u w:val="single" w:color="FF0000"/>
        </w:rPr>
        <w:t>日</w:t>
      </w:r>
    </w:p>
    <w:p w14:paraId="4957AE66" w14:textId="77777777" w:rsidR="00F72B1B" w:rsidRDefault="00F72B1B">
      <w:pPr>
        <w:pStyle w:val="2"/>
        <w:widowControl w:val="0"/>
      </w:pPr>
    </w:p>
    <w:p w14:paraId="43CA5D3D" w14:textId="77777777" w:rsidR="00F72B1B" w:rsidRDefault="00000000">
      <w:pPr>
        <w:widowControl w:val="0"/>
        <w:numPr>
          <w:ilvl w:val="0"/>
          <w:numId w:val="1"/>
        </w:numPr>
        <w:spacing w:afterLines="50" w:after="156" w:line="600" w:lineRule="exact"/>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重要动态</w:t>
      </w:r>
    </w:p>
    <w:p w14:paraId="4567D35D"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市国资委学习贯彻习近平新时代中国特色社会主义</w:t>
      </w:r>
    </w:p>
    <w:p w14:paraId="3B246755"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思想主题教育动员大会召开</w:t>
      </w:r>
    </w:p>
    <w:p w14:paraId="7E9D0BD4" w14:textId="77777777" w:rsidR="00F72B1B" w:rsidRDefault="00000000">
      <w:pPr>
        <w:pStyle w:val="2"/>
        <w:widowControl w:val="0"/>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近日，市国资委召开学习贯彻习近平新时代中国特色社会主义思想主题教育动员大会。</w:t>
      </w:r>
    </w:p>
    <w:p w14:paraId="69DBD00E" w14:textId="77777777" w:rsidR="00F72B1B" w:rsidRDefault="00000000">
      <w:pPr>
        <w:pStyle w:val="2"/>
        <w:widowControl w:val="0"/>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在全面贯彻党的二十大精神的开局之年，深入开展学习贯彻习近平新时代中国特色社会主义思想主题教育，是党中央作出的重大决策部署。习近平总书记在主题教育工作会议上的重要讲话，为开展主题教育指明了努力方向，提供了根本遵循。要把开展主题教育同贯彻中央和市委决策部署紧密结合、与落实重大战略任务紧密结合、与履行国资国企改革发展主责主业紧密结合，推动主题教育走深走实，取得实实在在的成效。</w:t>
      </w:r>
    </w:p>
    <w:p w14:paraId="30C995A9" w14:textId="77777777" w:rsidR="00F72B1B" w:rsidRDefault="00000000">
      <w:pPr>
        <w:pStyle w:val="2"/>
        <w:widowControl w:val="0"/>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会议强调，要高起点启动、高标准推进、高质量开展主题教育。</w:t>
      </w:r>
      <w:r>
        <w:rPr>
          <w:rFonts w:ascii="Times New Roman" w:eastAsia="仿宋_GB2312" w:hAnsi="Times New Roman" w:hint="eastAsia"/>
          <w:b/>
          <w:bCs/>
          <w:sz w:val="32"/>
          <w:szCs w:val="32"/>
          <w:lang w:bidi="ar"/>
        </w:rPr>
        <w:t>一是要提高政治站位，统一思想认识，以高度的政治自觉开展主题教育。</w:t>
      </w:r>
      <w:r>
        <w:rPr>
          <w:rFonts w:ascii="Times New Roman" w:eastAsia="仿宋_GB2312" w:hAnsi="Times New Roman" w:hint="eastAsia"/>
          <w:sz w:val="32"/>
          <w:szCs w:val="32"/>
          <w:lang w:bidi="ar"/>
        </w:rPr>
        <w:t>开展主题教育，是以习近平新时代中国特色社会主义思想凝心铸魂武装国资国企的迫切需要，是以踔厉奋发的姿态推动国资国企高质量发展的重要举措，是以自我革命精神加强国企党建纵深推进全面从严治党的现实需要。</w:t>
      </w:r>
      <w:r>
        <w:rPr>
          <w:rFonts w:ascii="Times New Roman" w:eastAsia="仿宋_GB2312" w:hAnsi="Times New Roman" w:hint="eastAsia"/>
          <w:b/>
          <w:bCs/>
          <w:sz w:val="32"/>
          <w:szCs w:val="32"/>
          <w:lang w:bidi="ar"/>
        </w:rPr>
        <w:t>二是要明确目标任务，聚焦工作重点，以扎实的工作举措推进主题教育。</w:t>
      </w:r>
      <w:r>
        <w:rPr>
          <w:rFonts w:ascii="Times New Roman" w:eastAsia="仿宋_GB2312" w:hAnsi="Times New Roman" w:hint="eastAsia"/>
          <w:sz w:val="32"/>
          <w:szCs w:val="32"/>
          <w:lang w:bidi="ar"/>
        </w:rPr>
        <w:t>要聚焦对党忠诚，在锤炼党性增强党性上取得根本成效；聚焦学深悟透，在领会精髓要义上取得根本成效；聚焦调查研究，在发现问题提出对策上取得根本成效；聚焦解决问题，在推动国资国企高质量发展上取得根本成效；聚焦提升能力本领，在干部队伍建设上取得根本成效。</w:t>
      </w:r>
      <w:r>
        <w:rPr>
          <w:rFonts w:ascii="Times New Roman" w:eastAsia="仿宋_GB2312" w:hAnsi="Times New Roman" w:hint="eastAsia"/>
          <w:b/>
          <w:bCs/>
          <w:sz w:val="32"/>
          <w:szCs w:val="32"/>
          <w:lang w:bidi="ar"/>
        </w:rPr>
        <w:t>三是要加强组织领导，拧紧责任链条，以严实的工作标准确保主题教育质量。</w:t>
      </w:r>
      <w:r>
        <w:rPr>
          <w:rFonts w:ascii="Times New Roman" w:eastAsia="仿宋_GB2312" w:hAnsi="Times New Roman" w:hint="eastAsia"/>
          <w:sz w:val="32"/>
          <w:szCs w:val="32"/>
          <w:lang w:bidi="ar"/>
        </w:rPr>
        <w:t>要逐级落实工作责任，加强组织领导，确保主题教育高效推进。领导干部要带头示范，以更高标准、更严要求、更实举措，为广大党员干部作出表率。要共同营造良好氛围，让主题教育在国资系统深入人心。要弘扬求真务实作风，突出一个“实”字，真正解决实际问题，推动高质量发展。（上海市国资委）</w:t>
      </w:r>
    </w:p>
    <w:p w14:paraId="407F2F70" w14:textId="77777777" w:rsidR="00F72B1B" w:rsidRDefault="00F72B1B">
      <w:pPr>
        <w:pStyle w:val="20"/>
        <w:ind w:left="480" w:firstLine="640"/>
      </w:pPr>
    </w:p>
    <w:p w14:paraId="6A4BBA9F" w14:textId="77777777" w:rsidR="00F72B1B" w:rsidRDefault="00000000">
      <w:pPr>
        <w:widowControl w:val="0"/>
        <w:numPr>
          <w:ilvl w:val="0"/>
          <w:numId w:val="1"/>
        </w:numPr>
        <w:spacing w:afterLines="50" w:after="156" w:line="600" w:lineRule="exact"/>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764344EB"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助力消费市场升级发展</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浦发银行信用卡打造</w:t>
      </w:r>
    </w:p>
    <w:p w14:paraId="0DB7DF70" w14:textId="77777777" w:rsidR="00F72B1B" w:rsidRDefault="00000000">
      <w:pPr>
        <w:widowControl w:val="0"/>
        <w:spacing w:beforeLines="50" w:before="156" w:afterLines="50" w:after="156" w:line="600" w:lineRule="exact"/>
        <w:jc w:val="center"/>
      </w:pPr>
      <w:r>
        <w:rPr>
          <w:rFonts w:ascii="Times New Roman" w:eastAsia="华文中宋" w:hAnsi="Times New Roman" w:cs="华文中宋" w:hint="eastAsia"/>
          <w:sz w:val="36"/>
          <w:szCs w:val="36"/>
          <w:shd w:val="clear" w:color="auto" w:fill="FFFFFF"/>
          <w:lang w:bidi="ar"/>
        </w:rPr>
        <w:lastRenderedPageBreak/>
        <w:t>多重活动为境外消费注入金融动能</w:t>
      </w:r>
    </w:p>
    <w:p w14:paraId="62038D19" w14:textId="77777777" w:rsidR="00F72B1B" w:rsidRDefault="00000000">
      <w:pPr>
        <w:pStyle w:val="2"/>
        <w:widowControl w:val="0"/>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为紧跟快速释放的出境游需求，浦发银行信用卡充分发挥业态融合优势，挖掘金融服务创新空间，深入“境外支付、航司购票”两大消费场景，嫁接卡组织优质资源，进一步打通“刷遍世界”境外消费返现活动层次，通过“浦发信用卡陪你一起看世界”的主题，为持卡人提供安全性强、回馈力度大的支付体验，助力消费市场升级发展。</w:t>
      </w:r>
    </w:p>
    <w:p w14:paraId="3D48E7E0" w14:textId="77777777" w:rsidR="00F72B1B" w:rsidRDefault="00000000">
      <w:pPr>
        <w:pStyle w:val="2"/>
        <w:widowControl w:val="0"/>
        <w:spacing w:line="600" w:lineRule="exact"/>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刷遍世界”叠加卡组织权益，拉动境外消费。</w:t>
      </w:r>
      <w:r>
        <w:rPr>
          <w:rFonts w:ascii="Times New Roman" w:eastAsia="仿宋_GB2312" w:hAnsi="Times New Roman" w:hint="eastAsia"/>
          <w:sz w:val="32"/>
          <w:szCs w:val="32"/>
          <w:lang w:bidi="ar"/>
        </w:rPr>
        <w:t>全面覆盖境外线下交易场景，浦发银行信用卡延续“刷遍世界”境外消费享返现活动的周期及力度。同时，浦发信用卡进一步灵活联动“</w:t>
      </w:r>
      <w:r>
        <w:rPr>
          <w:rFonts w:ascii="Times New Roman" w:eastAsia="仿宋_GB2312" w:hAnsi="Times New Roman" w:hint="eastAsia"/>
          <w:sz w:val="32"/>
          <w:szCs w:val="32"/>
          <w:lang w:bidi="ar"/>
        </w:rPr>
        <w:t>Visa</w:t>
      </w:r>
      <w:r>
        <w:rPr>
          <w:rFonts w:ascii="Times New Roman" w:eastAsia="仿宋_GB2312" w:hAnsi="Times New Roman" w:hint="eastAsia"/>
          <w:sz w:val="32"/>
          <w:szCs w:val="32"/>
          <w:lang w:bidi="ar"/>
        </w:rPr>
        <w:t>”“万事达”“美国运通”三大卡组织特色资源，叠加境外消费返现惊喜，打造多地域、多选择的精彩购物消费体验。值得一提的是，浦发</w:t>
      </w:r>
      <w:r>
        <w:rPr>
          <w:rFonts w:ascii="Times New Roman" w:eastAsia="仿宋_GB2312" w:hAnsi="Times New Roman" w:hint="eastAsia"/>
          <w:sz w:val="32"/>
          <w:szCs w:val="32"/>
          <w:lang w:bidi="ar"/>
        </w:rPr>
        <w:t>Visa</w:t>
      </w:r>
      <w:r>
        <w:rPr>
          <w:rFonts w:ascii="Times New Roman" w:eastAsia="仿宋_GB2312" w:hAnsi="Times New Roman" w:hint="eastAsia"/>
          <w:sz w:val="32"/>
          <w:szCs w:val="32"/>
          <w:lang w:bidi="ar"/>
        </w:rPr>
        <w:t>芯片感应卡覆盖全球</w:t>
      </w:r>
      <w:r>
        <w:rPr>
          <w:rFonts w:ascii="Times New Roman" w:eastAsia="仿宋_GB2312" w:hAnsi="Times New Roman" w:hint="eastAsia"/>
          <w:sz w:val="32"/>
          <w:szCs w:val="32"/>
          <w:lang w:bidi="ar"/>
        </w:rPr>
        <w:t>200</w:t>
      </w:r>
      <w:r>
        <w:rPr>
          <w:rFonts w:ascii="Times New Roman" w:eastAsia="仿宋_GB2312" w:hAnsi="Times New Roman" w:hint="eastAsia"/>
          <w:sz w:val="32"/>
          <w:szCs w:val="32"/>
          <w:lang w:bidi="ar"/>
        </w:rPr>
        <w:t>多个国家和地区以及</w:t>
      </w:r>
      <w:r>
        <w:rPr>
          <w:rFonts w:ascii="Times New Roman" w:eastAsia="仿宋_GB2312" w:hAnsi="Times New Roman" w:hint="eastAsia"/>
          <w:sz w:val="32"/>
          <w:szCs w:val="32"/>
          <w:lang w:bidi="ar"/>
        </w:rPr>
        <w:t>8000</w:t>
      </w:r>
      <w:r>
        <w:rPr>
          <w:rFonts w:ascii="Times New Roman" w:eastAsia="仿宋_GB2312" w:hAnsi="Times New Roman" w:hint="eastAsia"/>
          <w:sz w:val="32"/>
          <w:szCs w:val="32"/>
          <w:lang w:bidi="ar"/>
        </w:rPr>
        <w:t>万家商户，持卡人可在便利店、连锁超市、公交、快餐店等众多场景随心使用，感受更安全、更便捷、更高效的消费体验。</w:t>
      </w:r>
    </w:p>
    <w:p w14:paraId="30F45684" w14:textId="77777777" w:rsidR="00F72B1B" w:rsidRDefault="00000000">
      <w:pPr>
        <w:pStyle w:val="2"/>
        <w:widowControl w:val="0"/>
        <w:spacing w:line="600" w:lineRule="exact"/>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专属折扣码畅购航司订单，开启境外之旅。</w:t>
      </w:r>
      <w:r>
        <w:rPr>
          <w:rFonts w:ascii="Times New Roman" w:eastAsia="仿宋_GB2312" w:hAnsi="Times New Roman" w:hint="eastAsia"/>
          <w:sz w:val="32"/>
          <w:szCs w:val="32"/>
          <w:lang w:bidi="ar"/>
        </w:rPr>
        <w:t>当下出境游热度持续高涨，带来了可预见的航司订单热潮。航线运力的增量趋势显著，基于对出境环境及需求的深刻洞察，浦发信用卡为持卡人带来更多出行选择。浦发万事达卡无价世界系列卡产品的持卡人，在国泰航空、卡塔尔航空官网进行机票预订，输入专属折扣码后，每笔订单有机会专享立减优惠。进一步实现商旅消费场景深度覆盖，提供高性价比、高舒适</w:t>
      </w:r>
      <w:r>
        <w:rPr>
          <w:rFonts w:ascii="Times New Roman" w:eastAsia="仿宋_GB2312" w:hAnsi="Times New Roman" w:hint="eastAsia"/>
          <w:sz w:val="32"/>
          <w:szCs w:val="32"/>
          <w:lang w:bidi="ar"/>
        </w:rPr>
        <w:lastRenderedPageBreak/>
        <w:t>度的出行条件。</w:t>
      </w:r>
    </w:p>
    <w:p w14:paraId="28A7CD23" w14:textId="77777777" w:rsidR="00F72B1B" w:rsidRDefault="00000000">
      <w:pPr>
        <w:pStyle w:val="2"/>
        <w:widowControl w:val="0"/>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浦发信用卡始终“以客户为中心”加强金融产品创新。“刷遍世界”作为浦发信用卡的经典境外消费回馈活动，有机结合了卡组织资源、商户资源，境外消费场景，深度思考持卡人需求及当下消费趋势，通过利用各方资源优势，有效运转金融领域资金链，推动旅游消费业态蓬勃兴盛。（浦发银行）</w:t>
      </w:r>
    </w:p>
    <w:p w14:paraId="4875809F" w14:textId="77777777" w:rsidR="00F72B1B" w:rsidRDefault="00F72B1B">
      <w:pPr>
        <w:pStyle w:val="2"/>
        <w:widowControl w:val="0"/>
        <w:spacing w:line="600" w:lineRule="exact"/>
      </w:pPr>
    </w:p>
    <w:p w14:paraId="5ED4237C"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科技赋能数字经济</w:t>
      </w:r>
    </w:p>
    <w:p w14:paraId="0B623014" w14:textId="77777777" w:rsidR="00F72B1B" w:rsidRDefault="00000000">
      <w:pPr>
        <w:widowControl w:val="0"/>
        <w:spacing w:beforeLines="50" w:before="156" w:afterLines="50" w:after="156" w:line="600" w:lineRule="exact"/>
        <w:jc w:val="center"/>
      </w:pPr>
      <w:r>
        <w:rPr>
          <w:rFonts w:ascii="Times New Roman" w:eastAsia="华文中宋" w:hAnsi="Times New Roman" w:cs="华文中宋" w:hint="eastAsia"/>
          <w:sz w:val="36"/>
          <w:szCs w:val="36"/>
          <w:shd w:val="clear" w:color="auto" w:fill="FFFFFF"/>
          <w:lang w:bidi="ar"/>
        </w:rPr>
        <w:t>央视融媒体产业基金在人工智能领域积极布局</w:t>
      </w:r>
    </w:p>
    <w:p w14:paraId="50DB358C" w14:textId="77777777" w:rsidR="00F72B1B" w:rsidRDefault="00000000">
      <w:pPr>
        <w:pStyle w:val="2"/>
        <w:widowControl w:val="0"/>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近期，海通证券旗下子公司海通创意私募基金管理有限公司（以下简称海通创意）管理的央视融媒体产业基金（以下简称央视基金），结合</w:t>
      </w:r>
      <w:r>
        <w:rPr>
          <w:rFonts w:ascii="Times New Roman" w:eastAsia="仿宋_GB2312" w:hAnsi="Times New Roman" w:hint="eastAsia"/>
          <w:sz w:val="32"/>
          <w:szCs w:val="32"/>
          <w:lang w:bidi="ar"/>
        </w:rPr>
        <w:t>AGI</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Artificial General Intelligence</w:t>
      </w:r>
      <w:r>
        <w:rPr>
          <w:rFonts w:ascii="Times New Roman" w:eastAsia="仿宋_GB2312" w:hAnsi="Times New Roman" w:hint="eastAsia"/>
          <w:sz w:val="32"/>
          <w:szCs w:val="32"/>
          <w:lang w:bidi="ar"/>
        </w:rPr>
        <w:t>，通用人工智能）相关技术特征，进行了产业链的投资布局。</w:t>
      </w:r>
    </w:p>
    <w:p w14:paraId="04A2243D" w14:textId="77777777" w:rsidR="00F72B1B" w:rsidRDefault="00000000">
      <w:pPr>
        <w:pStyle w:val="2"/>
        <w:widowControl w:val="0"/>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央视基金于</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月完成备案后正式运作。海通创意作为管理人，其投研团队深入研究包括</w:t>
      </w:r>
      <w:r>
        <w:rPr>
          <w:rFonts w:ascii="Times New Roman" w:eastAsia="仿宋_GB2312" w:hAnsi="Times New Roman" w:hint="eastAsia"/>
          <w:sz w:val="32"/>
          <w:szCs w:val="32"/>
          <w:lang w:bidi="ar"/>
        </w:rPr>
        <w:t>NLP</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GAN</w:t>
      </w:r>
      <w:r>
        <w:rPr>
          <w:rFonts w:ascii="Times New Roman" w:eastAsia="仿宋_GB2312" w:hAnsi="Times New Roman" w:hint="eastAsia"/>
          <w:sz w:val="32"/>
          <w:szCs w:val="32"/>
          <w:lang w:bidi="ar"/>
        </w:rPr>
        <w:t>、大模型、多模态、机器学习、计算机视觉等</w:t>
      </w:r>
      <w:r>
        <w:rPr>
          <w:rFonts w:ascii="Times New Roman" w:eastAsia="仿宋_GB2312" w:hAnsi="Times New Roman" w:hint="eastAsia"/>
          <w:sz w:val="32"/>
          <w:szCs w:val="32"/>
          <w:lang w:bidi="ar"/>
        </w:rPr>
        <w:t>AGI</w:t>
      </w:r>
      <w:r>
        <w:rPr>
          <w:rFonts w:ascii="Times New Roman" w:eastAsia="仿宋_GB2312" w:hAnsi="Times New Roman" w:hint="eastAsia"/>
          <w:sz w:val="32"/>
          <w:szCs w:val="32"/>
          <w:lang w:bidi="ar"/>
        </w:rPr>
        <w:t>前沿技术，通过对这些技术的量化评估，选择具有投资潜力，且在各自领域中能够有效提高效率、优化决策和改善用户体验的标的。</w:t>
      </w:r>
    </w:p>
    <w:p w14:paraId="5B54EC9C" w14:textId="77777777" w:rsidR="00F72B1B" w:rsidRDefault="00000000">
      <w:pPr>
        <w:pStyle w:val="2"/>
        <w:widowControl w:val="0"/>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截至目前，央视基金已在人工智能领域完成基础算力、云计算、机器视觉、自然语言处理等关键节点的投资布局，赋能智慧文娱，智慧媒体，智慧金融等各个领域，促进被投</w:t>
      </w:r>
      <w:r>
        <w:rPr>
          <w:rFonts w:ascii="Times New Roman" w:eastAsia="仿宋_GB2312" w:hAnsi="Times New Roman" w:hint="eastAsia"/>
          <w:sz w:val="32"/>
          <w:szCs w:val="32"/>
          <w:lang w:bidi="ar"/>
        </w:rPr>
        <w:lastRenderedPageBreak/>
        <w:t>企业之间，被投企业和央视、电信及其他</w:t>
      </w:r>
      <w:r>
        <w:rPr>
          <w:rFonts w:ascii="Times New Roman" w:eastAsia="仿宋_GB2312" w:hAnsi="Times New Roman" w:hint="eastAsia"/>
          <w:sz w:val="32"/>
          <w:szCs w:val="32"/>
          <w:lang w:bidi="ar"/>
        </w:rPr>
        <w:t>LP</w:t>
      </w:r>
      <w:r>
        <w:rPr>
          <w:rFonts w:ascii="Times New Roman" w:eastAsia="仿宋_GB2312" w:hAnsi="Times New Roman" w:hint="eastAsia"/>
          <w:sz w:val="32"/>
          <w:szCs w:val="32"/>
          <w:lang w:bidi="ar"/>
        </w:rPr>
        <w:t>之间的创新合作。海通创意也将继续在</w:t>
      </w:r>
      <w:r>
        <w:rPr>
          <w:rFonts w:ascii="Times New Roman" w:eastAsia="仿宋_GB2312" w:hAnsi="Times New Roman" w:hint="eastAsia"/>
          <w:sz w:val="32"/>
          <w:szCs w:val="32"/>
          <w:lang w:bidi="ar"/>
        </w:rPr>
        <w:t>AGI</w:t>
      </w:r>
      <w:r>
        <w:rPr>
          <w:rFonts w:ascii="Times New Roman" w:eastAsia="仿宋_GB2312" w:hAnsi="Times New Roman" w:hint="eastAsia"/>
          <w:sz w:val="32"/>
          <w:szCs w:val="32"/>
          <w:lang w:bidi="ar"/>
        </w:rPr>
        <w:t>领域不断探索，助力相关企业及技术实现突破和共同成长。（海通证券）</w:t>
      </w:r>
    </w:p>
    <w:p w14:paraId="6405FC34" w14:textId="77777777" w:rsidR="00F72B1B" w:rsidRDefault="00F72B1B">
      <w:pPr>
        <w:pStyle w:val="20"/>
        <w:widowControl w:val="0"/>
        <w:spacing w:line="600" w:lineRule="exact"/>
        <w:ind w:left="480" w:firstLine="640"/>
      </w:pPr>
    </w:p>
    <w:p w14:paraId="54A9476F" w14:textId="77777777" w:rsidR="00F72B1B" w:rsidRDefault="00000000">
      <w:pPr>
        <w:widowControl w:val="0"/>
        <w:numPr>
          <w:ilvl w:val="0"/>
          <w:numId w:val="1"/>
        </w:numPr>
        <w:spacing w:afterLines="50" w:after="156" w:line="600" w:lineRule="exact"/>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7D26406B"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我国首次实现固态氢能发电并网</w:t>
      </w:r>
    </w:p>
    <w:p w14:paraId="3F823392"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申能集团自主研发助力“绿电”“绿氢”</w:t>
      </w:r>
    </w:p>
    <w:p w14:paraId="010134B2"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国家重点研发计划中的固态储氢开发项目率先在广州和昆明同时实现并网发电，这是我国首次利用光伏发电制成固态氢能应用于电力系统。申能集团旗下浙江蓝能氢能科技股份有限公司（以下简称：浙江蓝能）自主设计制造的大容量站用储氢容器——</w:t>
      </w:r>
      <w:r>
        <w:rPr>
          <w:rFonts w:ascii="Times New Roman" w:eastAsia="仿宋_GB2312" w:hAnsi="Times New Roman" w:hint="eastAsia"/>
          <w:sz w:val="32"/>
          <w:szCs w:val="32"/>
          <w:lang w:bidi="ar"/>
        </w:rPr>
        <w:t>45MPa</w:t>
      </w:r>
      <w:r>
        <w:rPr>
          <w:rFonts w:ascii="Times New Roman" w:eastAsia="仿宋_GB2312" w:hAnsi="Times New Roman" w:hint="eastAsia"/>
          <w:sz w:val="32"/>
          <w:szCs w:val="32"/>
          <w:lang w:bidi="ar"/>
        </w:rPr>
        <w:t>储氢瓶式容器组在这一全新应用场景中被使用。</w:t>
      </w:r>
    </w:p>
    <w:p w14:paraId="264F3D2C"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一块块光伏板将太阳能源源不断地转化为电能，再通过电解水制取氢气，经管道接入储氢长方体；固态储氢装置释放出来的氢气又可以通过燃料电池转化为电能并入电网。固态储氢解决了“绿电”与“绿氢”灵活转换的难题，这一重大变革性技术，未来有望成为支撑电力系统向高级形态演化的重要驱动力量。</w:t>
      </w:r>
    </w:p>
    <w:p w14:paraId="48EA96C7"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申能集团此次参与的中国南方电网固态储氢发电项目，可以在用电高峰时将项目存储的</w:t>
      </w:r>
      <w:r>
        <w:rPr>
          <w:rFonts w:ascii="Times New Roman" w:eastAsia="仿宋_GB2312" w:hAnsi="Times New Roman" w:hint="eastAsia"/>
          <w:sz w:val="32"/>
          <w:szCs w:val="32"/>
          <w:lang w:bidi="ar"/>
        </w:rPr>
        <w:t>165</w:t>
      </w:r>
      <w:r>
        <w:rPr>
          <w:rFonts w:ascii="Times New Roman" w:eastAsia="仿宋_GB2312" w:hAnsi="Times New Roman" w:hint="eastAsia"/>
          <w:sz w:val="32"/>
          <w:szCs w:val="32"/>
          <w:lang w:bidi="ar"/>
        </w:rPr>
        <w:t>公斤氢能持续稳定供电</w:t>
      </w:r>
      <w:r>
        <w:rPr>
          <w:rFonts w:ascii="Times New Roman" w:eastAsia="仿宋_GB2312" w:hAnsi="Times New Roman" w:hint="eastAsia"/>
          <w:sz w:val="32"/>
          <w:szCs w:val="32"/>
          <w:lang w:bidi="ar"/>
        </w:rPr>
        <w:t>23</w:t>
      </w:r>
      <w:r>
        <w:rPr>
          <w:rFonts w:ascii="Times New Roman" w:eastAsia="仿宋_GB2312" w:hAnsi="Times New Roman" w:hint="eastAsia"/>
          <w:sz w:val="32"/>
          <w:szCs w:val="32"/>
          <w:lang w:bidi="ar"/>
        </w:rPr>
        <w:t>小时，对于实现大规模稳定消纳清洁能源，推动可再生能</w:t>
      </w:r>
      <w:r>
        <w:rPr>
          <w:rFonts w:ascii="Times New Roman" w:eastAsia="仿宋_GB2312" w:hAnsi="Times New Roman" w:hint="eastAsia"/>
          <w:sz w:val="32"/>
          <w:szCs w:val="32"/>
          <w:lang w:bidi="ar"/>
        </w:rPr>
        <w:lastRenderedPageBreak/>
        <w:t>源大规模制氢，加快建成新型电力系统具有里程碑意义。作为清洁能源储运装备行业的龙头企业，浙江蓝能自主设计制造的</w:t>
      </w:r>
      <w:r>
        <w:rPr>
          <w:rFonts w:ascii="Times New Roman" w:eastAsia="仿宋_GB2312" w:hAnsi="Times New Roman" w:hint="eastAsia"/>
          <w:sz w:val="32"/>
          <w:szCs w:val="32"/>
          <w:lang w:bidi="ar"/>
        </w:rPr>
        <w:t>45MPa</w:t>
      </w:r>
      <w:r>
        <w:rPr>
          <w:rFonts w:ascii="Times New Roman" w:eastAsia="仿宋_GB2312" w:hAnsi="Times New Roman" w:hint="eastAsia"/>
          <w:sz w:val="32"/>
          <w:szCs w:val="32"/>
          <w:lang w:bidi="ar"/>
        </w:rPr>
        <w:t>储氢瓶式容器组是该发电项目中的重要组成部分之一，确保着固态氢能化为源源不断的绿色电力。</w:t>
      </w:r>
    </w:p>
    <w:p w14:paraId="6AA734CF"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除了浙江蓝能在氢储运装备赛道上不断发力，申能集团投资的各家氢能企业正在不断实现新突破。集团入股的燃料电池电堆研发制造企业氢晨科技公司，发布的业内首个单堆</w:t>
      </w:r>
      <w:r>
        <w:rPr>
          <w:rFonts w:ascii="Times New Roman" w:eastAsia="仿宋_GB2312" w:hAnsi="Times New Roman" w:hint="eastAsia"/>
          <w:sz w:val="32"/>
          <w:szCs w:val="32"/>
          <w:lang w:bidi="ar"/>
        </w:rPr>
        <w:t>300kW</w:t>
      </w:r>
      <w:r>
        <w:rPr>
          <w:rFonts w:ascii="Times New Roman" w:eastAsia="仿宋_GB2312" w:hAnsi="Times New Roman" w:hint="eastAsia"/>
          <w:sz w:val="32"/>
          <w:szCs w:val="32"/>
          <w:lang w:bidi="ar"/>
        </w:rPr>
        <w:t>大功率燃料电池电堆，实现了对燃料电池国际性技术难题的突破；集团投资的氢能企业鲲华科技和鲲鹏氢能发布了全球首套单堆</w:t>
      </w:r>
      <w:r>
        <w:rPr>
          <w:rFonts w:ascii="Times New Roman" w:eastAsia="仿宋_GB2312" w:hAnsi="Times New Roman" w:hint="eastAsia"/>
          <w:sz w:val="32"/>
          <w:szCs w:val="32"/>
          <w:lang w:bidi="ar"/>
        </w:rPr>
        <w:t>250kW</w:t>
      </w:r>
      <w:r>
        <w:rPr>
          <w:rFonts w:ascii="Times New Roman" w:eastAsia="仿宋_GB2312" w:hAnsi="Times New Roman" w:hint="eastAsia"/>
          <w:sz w:val="32"/>
          <w:szCs w:val="32"/>
          <w:lang w:bidi="ar"/>
        </w:rPr>
        <w:t>氢燃料电池发动机系统，采用了全新的系统架构，打破了技术研发能力、产品实现能力与高功率系统产品市场需求之间的壁垒。申能集团通过不断打通氢能发展“制—储—运—加—用”等关键环节堵点，持续推动行业加快由导入期向产业化发展，助力新型能源体系建设。（申能集团）</w:t>
      </w:r>
    </w:p>
    <w:p w14:paraId="2BA1C98F" w14:textId="77777777" w:rsidR="00F72B1B" w:rsidRDefault="00F72B1B">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p>
    <w:p w14:paraId="78BE3D0D" w14:textId="77777777" w:rsidR="00F72B1B" w:rsidRDefault="00000000">
      <w:pPr>
        <w:widowControl w:val="0"/>
        <w:spacing w:beforeLines="50" w:before="156" w:afterLines="50" w:after="156" w:line="600" w:lineRule="exact"/>
        <w:jc w:val="center"/>
        <w:rPr>
          <w:rFonts w:eastAsia="华文中宋"/>
        </w:rPr>
      </w:pPr>
      <w:r>
        <w:rPr>
          <w:rFonts w:ascii="Times New Roman" w:eastAsia="华文中宋" w:hAnsi="Times New Roman" w:cs="华文中宋" w:hint="eastAsia"/>
          <w:sz w:val="36"/>
          <w:szCs w:val="36"/>
          <w:shd w:val="clear" w:color="auto" w:fill="FFFFFF"/>
          <w:lang w:bidi="ar"/>
        </w:rPr>
        <w:t>隧道股份承建国家两机专项重燃排水隧道贯通</w:t>
      </w:r>
    </w:p>
    <w:p w14:paraId="35390E37"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近日，由隧道股份上海隧道承建的重型燃气轮机试验电站试验机组工程海水取排水工程排水隧道顺利贯通，标志着该工程取得重大进展，也为后续施工奠定了坚实基础。</w:t>
      </w:r>
    </w:p>
    <w:p w14:paraId="68E31C6F"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重型燃气轮机试验电站试验机组工程海水取排水工程位于上海临港新片区，以建设、完善重型燃气轮机试验电站</w:t>
      </w:r>
      <w:r>
        <w:rPr>
          <w:rFonts w:ascii="Times New Roman" w:eastAsia="仿宋_GB2312" w:hAnsi="Times New Roman" w:hint="eastAsia"/>
          <w:sz w:val="32"/>
          <w:szCs w:val="32"/>
          <w:lang w:bidi="ar"/>
        </w:rPr>
        <w:lastRenderedPageBreak/>
        <w:t>条件为目标，为重型燃气轮机整机试验需求提供条件保障。该工程是国家“两机”（航空发动机、燃气轮机）重大科技专项的重要组成部分。</w:t>
      </w:r>
    </w:p>
    <w:p w14:paraId="6BC6C0F6"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本次贯通的排水隧道总长度</w:t>
      </w:r>
      <w:r>
        <w:rPr>
          <w:rFonts w:ascii="Times New Roman" w:eastAsia="仿宋_GB2312" w:hAnsi="Times New Roman" w:hint="eastAsia"/>
          <w:sz w:val="32"/>
          <w:szCs w:val="32"/>
          <w:lang w:bidi="ar"/>
        </w:rPr>
        <w:t>650</w:t>
      </w:r>
      <w:r>
        <w:rPr>
          <w:rFonts w:ascii="Times New Roman" w:eastAsia="仿宋_GB2312" w:hAnsi="Times New Roman" w:hint="eastAsia"/>
          <w:sz w:val="32"/>
          <w:szCs w:val="32"/>
          <w:lang w:bidi="ar"/>
        </w:rPr>
        <w:t>米，设</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个垂直顶升口，建设面临小直径隧道配套运输、井下狭小空间施工、穿越沿海防汛大堤等多重难点。面对困难，项目团队对症下药、逐一击破：</w:t>
      </w:r>
      <w:r>
        <w:rPr>
          <w:rFonts w:ascii="Times New Roman" w:eastAsia="仿宋_GB2312" w:hAnsi="Times New Roman" w:hint="eastAsia"/>
          <w:b/>
          <w:bCs/>
          <w:sz w:val="32"/>
          <w:szCs w:val="32"/>
          <w:lang w:bidi="ar"/>
        </w:rPr>
        <w:t>在盾构设计研发阶段</w:t>
      </w:r>
      <w:r>
        <w:rPr>
          <w:rFonts w:ascii="Times New Roman" w:eastAsia="仿宋_GB2312" w:hAnsi="Times New Roman" w:hint="eastAsia"/>
          <w:sz w:val="32"/>
          <w:szCs w:val="32"/>
          <w:lang w:bidi="ar"/>
        </w:rPr>
        <w:t>，结合小直径隧道施工的特点与特殊需求，对车架、配套运输、管片拼装机进行专项设计。</w:t>
      </w:r>
      <w:r>
        <w:rPr>
          <w:rFonts w:ascii="Times New Roman" w:eastAsia="仿宋_GB2312" w:hAnsi="Times New Roman" w:hint="eastAsia"/>
          <w:b/>
          <w:bCs/>
          <w:sz w:val="32"/>
          <w:szCs w:val="32"/>
          <w:lang w:bidi="ar"/>
        </w:rPr>
        <w:t>在盾构掘进中</w:t>
      </w:r>
      <w:r>
        <w:rPr>
          <w:rFonts w:ascii="Times New Roman" w:eastAsia="仿宋_GB2312" w:hAnsi="Times New Roman" w:hint="eastAsia"/>
          <w:sz w:val="32"/>
          <w:szCs w:val="32"/>
          <w:lang w:bidi="ar"/>
        </w:rPr>
        <w:t>，两分次进行车架转接，既保障了盾构始发阶段的高效施工，又有效解决了井下施工空间狭小的难题。</w:t>
      </w:r>
      <w:r>
        <w:rPr>
          <w:rFonts w:ascii="Times New Roman" w:eastAsia="仿宋_GB2312" w:hAnsi="Times New Roman" w:hint="eastAsia"/>
          <w:b/>
          <w:bCs/>
          <w:sz w:val="32"/>
          <w:szCs w:val="32"/>
          <w:lang w:bidi="ar"/>
        </w:rPr>
        <w:t>在穿越大堤前</w:t>
      </w:r>
      <w:r>
        <w:rPr>
          <w:rFonts w:ascii="Times New Roman" w:eastAsia="仿宋_GB2312" w:hAnsi="Times New Roman" w:hint="eastAsia"/>
          <w:sz w:val="32"/>
          <w:szCs w:val="32"/>
          <w:lang w:bidi="ar"/>
        </w:rPr>
        <w:t>，反复试验分析施工参数，提前掌握土体性质，制定应对措施，保障盾构机穿越海堤时的精准沉降控制。</w:t>
      </w:r>
      <w:r>
        <w:rPr>
          <w:rFonts w:ascii="Times New Roman" w:eastAsia="仿宋_GB2312" w:hAnsi="Times New Roman" w:hint="eastAsia"/>
          <w:b/>
          <w:bCs/>
          <w:sz w:val="32"/>
          <w:szCs w:val="32"/>
          <w:lang w:bidi="ar"/>
        </w:rPr>
        <w:t>在项目建设中</w:t>
      </w:r>
      <w:r>
        <w:rPr>
          <w:rFonts w:ascii="Times New Roman" w:eastAsia="仿宋_GB2312" w:hAnsi="Times New Roman" w:hint="eastAsia"/>
          <w:sz w:val="32"/>
          <w:szCs w:val="32"/>
          <w:lang w:bidi="ar"/>
        </w:rPr>
        <w:t>，项目团队多次对施工方案进行审议、</w:t>
      </w:r>
      <w:r>
        <w:rPr>
          <w:rFonts w:ascii="Times New Roman" w:eastAsia="仿宋_GB2312" w:hAnsi="Times New Roman" w:hint="eastAsia"/>
          <w:sz w:val="32"/>
          <w:szCs w:val="32"/>
          <w:lang w:bidi="ar"/>
        </w:rPr>
        <w:t>24</w:t>
      </w:r>
      <w:r>
        <w:rPr>
          <w:rFonts w:ascii="Times New Roman" w:eastAsia="仿宋_GB2312" w:hAnsi="Times New Roman" w:hint="eastAsia"/>
          <w:sz w:val="32"/>
          <w:szCs w:val="32"/>
          <w:lang w:bidi="ar"/>
        </w:rPr>
        <w:t>小时推进作业，仅在</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个月内就完成</w:t>
      </w:r>
      <w:r>
        <w:rPr>
          <w:rFonts w:ascii="Times New Roman" w:eastAsia="仿宋_GB2312" w:hAnsi="Times New Roman" w:hint="eastAsia"/>
          <w:sz w:val="32"/>
          <w:szCs w:val="32"/>
          <w:lang w:bidi="ar"/>
        </w:rPr>
        <w:t>540</w:t>
      </w:r>
      <w:r>
        <w:rPr>
          <w:rFonts w:ascii="Times New Roman" w:eastAsia="仿宋_GB2312" w:hAnsi="Times New Roman" w:hint="eastAsia"/>
          <w:sz w:val="32"/>
          <w:szCs w:val="32"/>
          <w:lang w:bidi="ar"/>
        </w:rPr>
        <w:t>环标准环管片以及</w:t>
      </w:r>
      <w:r>
        <w:rPr>
          <w:rFonts w:ascii="Times New Roman" w:eastAsia="仿宋_GB2312" w:hAnsi="Times New Roman" w:hint="eastAsia"/>
          <w:sz w:val="32"/>
          <w:szCs w:val="32"/>
          <w:lang w:bidi="ar"/>
        </w:rPr>
        <w:t>49</w:t>
      </w:r>
      <w:r>
        <w:rPr>
          <w:rFonts w:ascii="Times New Roman" w:eastAsia="仿宋_GB2312" w:hAnsi="Times New Roman" w:hint="eastAsia"/>
          <w:sz w:val="32"/>
          <w:szCs w:val="32"/>
          <w:lang w:bidi="ar"/>
        </w:rPr>
        <w:t>环特殊环管片的施工任务，盾构掘进还创下单日</w:t>
      </w:r>
      <w:r>
        <w:rPr>
          <w:rFonts w:ascii="Times New Roman" w:eastAsia="仿宋_GB2312" w:hAnsi="Times New Roman" w:hint="eastAsia"/>
          <w:sz w:val="32"/>
          <w:szCs w:val="32"/>
          <w:lang w:bidi="ar"/>
        </w:rPr>
        <w:t>24</w:t>
      </w:r>
      <w:r>
        <w:rPr>
          <w:rFonts w:ascii="Times New Roman" w:eastAsia="仿宋_GB2312" w:hAnsi="Times New Roman" w:hint="eastAsia"/>
          <w:sz w:val="32"/>
          <w:szCs w:val="32"/>
          <w:lang w:bidi="ar"/>
        </w:rPr>
        <w:t>环的施工纪录。（隧道股份）</w:t>
      </w:r>
    </w:p>
    <w:p w14:paraId="42E59A1F" w14:textId="77777777" w:rsidR="00F72B1B" w:rsidRDefault="00F72B1B">
      <w:pPr>
        <w:widowControl w:val="0"/>
        <w:spacing w:line="600" w:lineRule="exact"/>
      </w:pPr>
    </w:p>
    <w:p w14:paraId="7D5681BB"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东方国际旗下东方物流成功完成</w:t>
      </w:r>
    </w:p>
    <w:p w14:paraId="7ABBE767"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土耳其救灾物资包机重任</w:t>
      </w:r>
    </w:p>
    <w:p w14:paraId="15A96005"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近日，东方国际旗下东方物流操作的</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架土耳其航空救灾物资包机全部顺利启航，为公司所负责的“土耳其航空救灾物资空运组板项目”顺利画下句号。</w:t>
      </w:r>
    </w:p>
    <w:p w14:paraId="1DD54E33"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自土耳其强震发生以来，东方物流始终密切关注相关资讯，积极为土耳其震后恢复提供便利。</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月中旬公司接到“土耳其航空救灾物资空运组板项目”的重任，这意味着公司空运出口团队要在短短一周内操作</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架土航救灾物资包机，物资总计</w:t>
      </w:r>
      <w:r>
        <w:rPr>
          <w:rFonts w:ascii="Times New Roman" w:eastAsia="仿宋_GB2312" w:hAnsi="Times New Roman" w:hint="eastAsia"/>
          <w:sz w:val="32"/>
          <w:szCs w:val="32"/>
          <w:lang w:bidi="ar"/>
        </w:rPr>
        <w:t>36200</w:t>
      </w:r>
      <w:r>
        <w:rPr>
          <w:rFonts w:ascii="Times New Roman" w:eastAsia="仿宋_GB2312" w:hAnsi="Times New Roman" w:hint="eastAsia"/>
          <w:sz w:val="32"/>
          <w:szCs w:val="32"/>
          <w:lang w:bidi="ar"/>
        </w:rPr>
        <w:t>件，重达</w:t>
      </w:r>
      <w:r>
        <w:rPr>
          <w:rFonts w:ascii="Times New Roman" w:eastAsia="仿宋_GB2312" w:hAnsi="Times New Roman" w:hint="eastAsia"/>
          <w:sz w:val="32"/>
          <w:szCs w:val="32"/>
          <w:lang w:bidi="ar"/>
        </w:rPr>
        <w:t>850</w:t>
      </w:r>
      <w:r>
        <w:rPr>
          <w:rFonts w:ascii="Times New Roman" w:eastAsia="仿宋_GB2312" w:hAnsi="Times New Roman" w:hint="eastAsia"/>
          <w:sz w:val="32"/>
          <w:szCs w:val="32"/>
          <w:lang w:bidi="ar"/>
        </w:rPr>
        <w:t>吨，约</w:t>
      </w:r>
      <w:r>
        <w:rPr>
          <w:rFonts w:ascii="Times New Roman" w:eastAsia="仿宋_GB2312" w:hAnsi="Times New Roman" w:hint="eastAsia"/>
          <w:sz w:val="32"/>
          <w:szCs w:val="32"/>
          <w:lang w:bidi="ar"/>
        </w:rPr>
        <w:t>7200</w:t>
      </w:r>
      <w:r>
        <w:rPr>
          <w:rFonts w:ascii="Times New Roman" w:eastAsia="仿宋_GB2312" w:hAnsi="Times New Roman" w:hint="eastAsia"/>
          <w:sz w:val="32"/>
          <w:szCs w:val="32"/>
          <w:lang w:bidi="ar"/>
        </w:rPr>
        <w:t>立方米。</w:t>
      </w:r>
    </w:p>
    <w:p w14:paraId="1B25BEB7"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为确保项目万无一失，东方物流空运出口团队全军出击，充分发挥党支部战斗堡垒作用，党支部书记带头一线作战，并提前租借</w:t>
      </w:r>
      <w:r>
        <w:rPr>
          <w:rFonts w:ascii="Times New Roman" w:eastAsia="仿宋_GB2312" w:hAnsi="Times New Roman" w:hint="eastAsia"/>
          <w:sz w:val="32"/>
          <w:szCs w:val="32"/>
          <w:lang w:bidi="ar"/>
        </w:rPr>
        <w:t>3000</w:t>
      </w:r>
      <w:r>
        <w:rPr>
          <w:rFonts w:ascii="Times New Roman" w:eastAsia="仿宋_GB2312" w:hAnsi="Times New Roman" w:hint="eastAsia"/>
          <w:sz w:val="32"/>
          <w:szCs w:val="32"/>
          <w:lang w:bidi="ar"/>
        </w:rPr>
        <w:t>平方米的临时仓库，增派</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余名现场工作人员和</w:t>
      </w:r>
      <w:r>
        <w:rPr>
          <w:rFonts w:ascii="Times New Roman" w:eastAsia="仿宋_GB2312" w:hAnsi="Times New Roman" w:hint="eastAsia"/>
          <w:sz w:val="32"/>
          <w:szCs w:val="32"/>
          <w:lang w:bidi="ar"/>
        </w:rPr>
        <w:t>42</w:t>
      </w:r>
      <w:r>
        <w:rPr>
          <w:rFonts w:ascii="Times New Roman" w:eastAsia="仿宋_GB2312" w:hAnsi="Times New Roman" w:hint="eastAsia"/>
          <w:sz w:val="32"/>
          <w:szCs w:val="32"/>
          <w:lang w:bidi="ar"/>
        </w:rPr>
        <w:t>辆短驳车，针对客服、单证、仓库、外场等不同岗位和工种制定排班计划和应急预案。</w:t>
      </w:r>
    </w:p>
    <w:p w14:paraId="12123133"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自</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17</w:t>
      </w:r>
      <w:r>
        <w:rPr>
          <w:rFonts w:ascii="Times New Roman" w:eastAsia="仿宋_GB2312" w:hAnsi="Times New Roman" w:hint="eastAsia"/>
          <w:sz w:val="32"/>
          <w:szCs w:val="32"/>
          <w:lang w:bidi="ar"/>
        </w:rPr>
        <w:t>日</w:t>
      </w:r>
      <w:r>
        <w:rPr>
          <w:rFonts w:ascii="Times New Roman" w:eastAsia="仿宋_GB2312" w:hAnsi="Times New Roman" w:hint="eastAsia"/>
          <w:sz w:val="32"/>
          <w:szCs w:val="32"/>
          <w:lang w:bidi="ar"/>
        </w:rPr>
        <w:t>16</w:t>
      </w:r>
      <w:r>
        <w:rPr>
          <w:rFonts w:ascii="Times New Roman" w:eastAsia="仿宋_GB2312" w:hAnsi="Times New Roman" w:hint="eastAsia"/>
          <w:sz w:val="32"/>
          <w:szCs w:val="32"/>
          <w:lang w:bidi="ar"/>
        </w:rPr>
        <w:t>点起，一批批土航救灾物资陆续运抵东方物流空运出口仓库。空运出口团队第一时间召开紧急会议，根据实际进仓货量动态调整人员安排。与此同时，客服人员时刻与客户和送货车队密切联系、积极协调，仓库和外场组板的作业人员</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24</w:t>
      </w:r>
      <w:r>
        <w:rPr>
          <w:rFonts w:ascii="Times New Roman" w:eastAsia="仿宋_GB2312" w:hAnsi="Times New Roman" w:hint="eastAsia"/>
          <w:sz w:val="32"/>
          <w:szCs w:val="32"/>
          <w:lang w:bidi="ar"/>
        </w:rPr>
        <w:t>小时不间断轮班，保障救灾物资从入库到启运零延误、零货损、零差错。</w:t>
      </w:r>
    </w:p>
    <w:p w14:paraId="5EF62646"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东方物流空运出口团队高速运转、相互配合，以实际行动践行东方国际集团“四个顽强、四个不怕、四个特能”的企业作风。未来，东方物流将继续为各类空运、海运进出口物资提供优质高效的地面操作服务，在各项急难险重的任务中彰显国企担当。（东方国际）</w:t>
      </w:r>
    </w:p>
    <w:p w14:paraId="242746D7" w14:textId="77777777" w:rsidR="00F72B1B" w:rsidRDefault="00F72B1B">
      <w:pPr>
        <w:pStyle w:val="2"/>
        <w:widowControl w:val="0"/>
        <w:spacing w:line="600" w:lineRule="exact"/>
      </w:pPr>
    </w:p>
    <w:p w14:paraId="11D55FCE" w14:textId="77777777" w:rsidR="00F72B1B" w:rsidRDefault="00F72B1B">
      <w:pPr>
        <w:pStyle w:val="20"/>
        <w:ind w:left="480" w:firstLine="640"/>
      </w:pPr>
    </w:p>
    <w:p w14:paraId="41C91011"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lastRenderedPageBreak/>
        <w:t>上汽集团乘用车获全球首张</w:t>
      </w:r>
    </w:p>
    <w:p w14:paraId="597A38C9"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汽车网络安全管理体系认证证书</w:t>
      </w:r>
    </w:p>
    <w:p w14:paraId="40E16457"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近日，上汽集团乘用车获颁全球首张</w:t>
      </w:r>
      <w:r>
        <w:rPr>
          <w:rFonts w:ascii="Times New Roman" w:eastAsia="仿宋_GB2312" w:hAnsi="Times New Roman" w:hint="eastAsia"/>
          <w:sz w:val="32"/>
          <w:szCs w:val="32"/>
          <w:lang w:bidi="ar"/>
        </w:rPr>
        <w:t>E4 UN-R155</w:t>
      </w:r>
      <w:r>
        <w:rPr>
          <w:rFonts w:ascii="Times New Roman" w:eastAsia="仿宋_GB2312" w:hAnsi="Times New Roman" w:hint="eastAsia"/>
          <w:sz w:val="32"/>
          <w:szCs w:val="32"/>
          <w:lang w:bidi="ar"/>
        </w:rPr>
        <w:t>车辆网络安全管理体系（</w:t>
      </w:r>
      <w:r>
        <w:rPr>
          <w:rFonts w:ascii="Times New Roman" w:eastAsia="仿宋_GB2312" w:hAnsi="Times New Roman" w:hint="eastAsia"/>
          <w:sz w:val="32"/>
          <w:szCs w:val="32"/>
          <w:lang w:bidi="ar"/>
        </w:rPr>
        <w:t>CSMS</w:t>
      </w:r>
      <w:r>
        <w:rPr>
          <w:rFonts w:ascii="Times New Roman" w:eastAsia="仿宋_GB2312" w:hAnsi="Times New Roman" w:hint="eastAsia"/>
          <w:sz w:val="32"/>
          <w:szCs w:val="32"/>
          <w:lang w:bidi="ar"/>
        </w:rPr>
        <w:t>）认证证书。</w:t>
      </w:r>
    </w:p>
    <w:p w14:paraId="21D337F9"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UN-R155</w:t>
      </w:r>
      <w:r>
        <w:rPr>
          <w:rFonts w:ascii="Times New Roman" w:eastAsia="仿宋_GB2312" w:hAnsi="Times New Roman" w:hint="eastAsia"/>
          <w:sz w:val="32"/>
          <w:szCs w:val="32"/>
          <w:lang w:bidi="ar"/>
        </w:rPr>
        <w:t>是国际上首个与汽车网络安全相关的纲领性法规，就保障智能网联汽车的网络安全提出了管理体系及相关的合规技术要求。自</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月起，出口欧盟市场的新车型必须满足</w:t>
      </w:r>
      <w:r>
        <w:rPr>
          <w:rFonts w:ascii="Times New Roman" w:eastAsia="仿宋_GB2312" w:hAnsi="Times New Roman" w:hint="eastAsia"/>
          <w:sz w:val="32"/>
          <w:szCs w:val="32"/>
          <w:lang w:bidi="ar"/>
        </w:rPr>
        <w:t>UN-R155</w:t>
      </w:r>
      <w:r>
        <w:rPr>
          <w:rFonts w:ascii="Times New Roman" w:eastAsia="仿宋_GB2312" w:hAnsi="Times New Roman" w:hint="eastAsia"/>
          <w:sz w:val="32"/>
          <w:szCs w:val="32"/>
          <w:lang w:bidi="ar"/>
        </w:rPr>
        <w:t>法规要求。</w:t>
      </w:r>
      <w:r>
        <w:rPr>
          <w:rFonts w:ascii="Times New Roman" w:eastAsia="仿宋_GB2312" w:hAnsi="Times New Roman" w:hint="eastAsia"/>
          <w:sz w:val="32"/>
          <w:szCs w:val="32"/>
          <w:lang w:bidi="ar"/>
        </w:rPr>
        <w:t>E</w:t>
      </w:r>
      <w:r>
        <w:rPr>
          <w:rFonts w:ascii="Times New Roman" w:eastAsia="仿宋_GB2312" w:hAnsi="Times New Roman" w:hint="eastAsia"/>
          <w:sz w:val="32"/>
          <w:szCs w:val="32"/>
          <w:lang w:bidi="ar"/>
        </w:rPr>
        <w:t>是欧盟委员会依据欧盟指令强制成员国使用的机动车整车、安全零部件及系统的认证标志，其中</w:t>
      </w:r>
      <w:r>
        <w:rPr>
          <w:rFonts w:ascii="Times New Roman" w:eastAsia="仿宋_GB2312" w:hAnsi="Times New Roman" w:hint="eastAsia"/>
          <w:sz w:val="32"/>
          <w:szCs w:val="32"/>
          <w:lang w:bidi="ar"/>
        </w:rPr>
        <w:t>E4</w:t>
      </w:r>
      <w:r>
        <w:rPr>
          <w:rFonts w:ascii="Times New Roman" w:eastAsia="仿宋_GB2312" w:hAnsi="Times New Roman" w:hint="eastAsia"/>
          <w:sz w:val="32"/>
          <w:szCs w:val="32"/>
          <w:lang w:bidi="ar"/>
        </w:rPr>
        <w:t>是要求最严和最具国际化认可的认证。</w:t>
      </w:r>
    </w:p>
    <w:p w14:paraId="3F17012E"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多年来，上汽集团高度重视汽车网络安全，以整车全生命周期网络安全为目标，组织上汽乘用车、上汽国际、上汽海外出行等多家企业协同共建跨企业汽车网络安全管理体系。此次，上汽打通研发设计、生产制造、营销售后等各个环节，经过一年多时间不断完善及试运行，最终获得国际认证。（上汽集团）</w:t>
      </w:r>
    </w:p>
    <w:p w14:paraId="7095249D" w14:textId="77777777" w:rsidR="00F72B1B" w:rsidRDefault="00F72B1B">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p>
    <w:p w14:paraId="24AA9240"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临港集团与</w:t>
      </w:r>
      <w:r>
        <w:rPr>
          <w:rFonts w:ascii="Times New Roman" w:eastAsia="华文中宋" w:hAnsi="Times New Roman" w:cs="华文中宋" w:hint="eastAsia"/>
          <w:sz w:val="36"/>
          <w:szCs w:val="36"/>
          <w:shd w:val="clear" w:color="auto" w:fill="FFFFFF"/>
          <w:lang w:bidi="ar"/>
        </w:rPr>
        <w:t>AI</w:t>
      </w:r>
      <w:r>
        <w:rPr>
          <w:rFonts w:ascii="Times New Roman" w:eastAsia="华文中宋" w:hAnsi="Times New Roman" w:cs="华文中宋" w:hint="eastAsia"/>
          <w:sz w:val="36"/>
          <w:szCs w:val="36"/>
          <w:shd w:val="clear" w:color="auto" w:fill="FFFFFF"/>
          <w:lang w:bidi="ar"/>
        </w:rPr>
        <w:t>顶尖科学家共同构建</w:t>
      </w:r>
      <w:r>
        <w:rPr>
          <w:rFonts w:ascii="Times New Roman" w:eastAsia="华文中宋" w:hAnsi="Times New Roman" w:cs="华文中宋" w:hint="eastAsia"/>
          <w:sz w:val="36"/>
          <w:szCs w:val="36"/>
          <w:shd w:val="clear" w:color="auto" w:fill="FFFFFF"/>
          <w:lang w:bidi="ar"/>
        </w:rPr>
        <w:t>AI</w:t>
      </w:r>
      <w:r>
        <w:rPr>
          <w:rFonts w:ascii="Times New Roman" w:eastAsia="华文中宋" w:hAnsi="Times New Roman" w:cs="华文中宋" w:hint="eastAsia"/>
          <w:sz w:val="36"/>
          <w:szCs w:val="36"/>
          <w:shd w:val="clear" w:color="auto" w:fill="FFFFFF"/>
          <w:lang w:bidi="ar"/>
        </w:rPr>
        <w:t>生态圈</w:t>
      </w:r>
    </w:p>
    <w:p w14:paraId="3EB9546D"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近日，在</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上海全球投资促进大会上，临港集团与</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顶尖科学家签约。</w:t>
      </w:r>
    </w:p>
    <w:p w14:paraId="66E8B5C2"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双方将面向临港集团园区及企业，在能源、交通、智能</w:t>
      </w:r>
      <w:r>
        <w:rPr>
          <w:rFonts w:ascii="Times New Roman" w:eastAsia="仿宋_GB2312" w:hAnsi="Times New Roman" w:hint="eastAsia"/>
          <w:sz w:val="32"/>
          <w:szCs w:val="32"/>
          <w:lang w:bidi="ar"/>
        </w:rPr>
        <w:lastRenderedPageBreak/>
        <w:t>制造和元宇宙等场景下共同构建应用“工业场景下的智能决策式多任务通用大模型”，孵化相关人工智能项目落地临港集团所属园区。同时，双方将构建在</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领域人才及产学研协同的生态圈，为建设更具影响力的人工智能上海高地作出更多贡献。</w:t>
      </w:r>
    </w:p>
    <w:p w14:paraId="0891BD5B"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临港集团重点聚焦上海市“</w:t>
      </w:r>
      <w:r>
        <w:rPr>
          <w:rFonts w:ascii="Times New Roman" w:eastAsia="仿宋_GB2312" w:hAnsi="Times New Roman" w:hint="eastAsia"/>
          <w:sz w:val="32"/>
          <w:szCs w:val="32"/>
          <w:lang w:bidi="ar"/>
        </w:rPr>
        <w:t>3+6</w:t>
      </w:r>
      <w:r>
        <w:rPr>
          <w:rFonts w:ascii="Times New Roman" w:eastAsia="仿宋_GB2312" w:hAnsi="Times New Roman" w:hint="eastAsia"/>
          <w:sz w:val="32"/>
          <w:szCs w:val="32"/>
          <w:lang w:bidi="ar"/>
        </w:rPr>
        <w:t>”新型产业体系和临港新片区“</w:t>
      </w:r>
      <w:r>
        <w:rPr>
          <w:rFonts w:ascii="Times New Roman" w:eastAsia="仿宋_GB2312" w:hAnsi="Times New Roman" w:hint="eastAsia"/>
          <w:sz w:val="32"/>
          <w:szCs w:val="32"/>
          <w:lang w:bidi="ar"/>
        </w:rPr>
        <w:t>4+2+2</w:t>
      </w:r>
      <w:r>
        <w:rPr>
          <w:rFonts w:ascii="Times New Roman" w:eastAsia="仿宋_GB2312" w:hAnsi="Times New Roman" w:hint="eastAsia"/>
          <w:sz w:val="32"/>
          <w:szCs w:val="32"/>
          <w:lang w:bidi="ar"/>
        </w:rPr>
        <w:t>”前沿产业集群发展，积极布局新赛道和未来产业，建设高品质物业、集聚高素质人才、形成高活力生态，为临港新片区在更深层次、更宽领域、以更大力度推进全方位高水平开放，为上海建设具有全球影响力的科创中心、提升五个新城功能持续贡献临港智慧与临港力量。（临港集团）</w:t>
      </w:r>
    </w:p>
    <w:p w14:paraId="5A19F26C" w14:textId="77777777" w:rsidR="00F72B1B" w:rsidRDefault="00F72B1B">
      <w:pPr>
        <w:pStyle w:val="2"/>
        <w:widowControl w:val="0"/>
        <w:spacing w:line="600" w:lineRule="exact"/>
        <w:rPr>
          <w:rFonts w:ascii="Times New Roman" w:eastAsia="仿宋_GB2312" w:hAnsi="Times New Roman"/>
          <w:sz w:val="32"/>
          <w:szCs w:val="32"/>
          <w:lang w:bidi="ar"/>
        </w:rPr>
      </w:pPr>
    </w:p>
    <w:p w14:paraId="3075F313"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全过程、可追溯</w:t>
      </w:r>
    </w:p>
    <w:p w14:paraId="37FAF193" w14:textId="77777777" w:rsidR="00F72B1B" w:rsidRDefault="00000000">
      <w:pPr>
        <w:widowControl w:val="0"/>
        <w:spacing w:beforeLines="50" w:before="156" w:afterLines="50" w:after="156" w:line="600" w:lineRule="exact"/>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上海城投集团上海环境让每包危险废物都有“身份证”</w:t>
      </w:r>
    </w:p>
    <w:p w14:paraId="31126DCB"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近期，随着上海市危险废物信息化管理系统</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版试运行，上海城投集团旗下上海环境通过自建的危废信息化管理系统（</w:t>
      </w:r>
      <w:r>
        <w:rPr>
          <w:rFonts w:ascii="Times New Roman" w:eastAsia="仿宋_GB2312" w:hAnsi="Times New Roman" w:hint="eastAsia"/>
          <w:sz w:val="32"/>
          <w:szCs w:val="32"/>
          <w:lang w:bidi="ar"/>
        </w:rPr>
        <w:t>ERP</w:t>
      </w:r>
      <w:r>
        <w:rPr>
          <w:rFonts w:ascii="Times New Roman" w:eastAsia="仿宋_GB2312" w:hAnsi="Times New Roman" w:hint="eastAsia"/>
          <w:sz w:val="32"/>
          <w:szCs w:val="32"/>
          <w:lang w:bidi="ar"/>
        </w:rPr>
        <w:t>），做到了从危废产生源头，过程收集、贮存、运输，末端处置及资源化利用等全过程闭环式管理，实现“来源可查、去向可追、全程留痕”。</w:t>
      </w:r>
    </w:p>
    <w:p w14:paraId="2B0AD2F9"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每天，一辆辆危废收运车驶入上海崇明嘉瀛公司，将来自振华重工、沪东造船等企业的危险废物有序放置在指定卸</w:t>
      </w:r>
      <w:r>
        <w:rPr>
          <w:rFonts w:ascii="Times New Roman" w:eastAsia="仿宋_GB2312" w:hAnsi="Times New Roman" w:hint="eastAsia"/>
          <w:sz w:val="32"/>
          <w:szCs w:val="32"/>
          <w:lang w:bidi="ar"/>
        </w:rPr>
        <w:lastRenderedPageBreak/>
        <w:t>料区。接收人员扫描每个危险废物包上的二维码，这包危险废物的运输时间、所含物质、产废单位等关键信息便一览无余。崇明岛危废处理“全过程、可追溯”的模式，正是上海全境危废处理的一个缩影。</w:t>
      </w:r>
    </w:p>
    <w:p w14:paraId="594C6635" w14:textId="77777777" w:rsidR="00F72B1B" w:rsidRDefault="00000000">
      <w:pPr>
        <w:widowControl w:val="0"/>
        <w:numPr>
          <w:ilvl w:val="255"/>
          <w:numId w:val="0"/>
        </w:num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环境先后建设运营了嘉定、崇明、老港等危废处置基地，委托管理临港新片区危险废物高值资源化与集约化示范基地、市公卫中心医废焚烧线，全力建设松江危废项目，补齐了全市危废处置短板。目前，不同种类的危险废物经过收集、转运、预处理、贮存、焚烧处置等一系列安全规范操作，上海环境旗下每天</w:t>
      </w:r>
      <w:r>
        <w:rPr>
          <w:rFonts w:ascii="Times New Roman" w:eastAsia="仿宋_GB2312" w:hAnsi="Times New Roman" w:hint="eastAsia"/>
          <w:sz w:val="32"/>
          <w:szCs w:val="32"/>
          <w:lang w:bidi="ar"/>
        </w:rPr>
        <w:t>400</w:t>
      </w:r>
      <w:r>
        <w:rPr>
          <w:rFonts w:ascii="Times New Roman" w:eastAsia="仿宋_GB2312" w:hAnsi="Times New Roman" w:hint="eastAsia"/>
          <w:sz w:val="32"/>
          <w:szCs w:val="32"/>
          <w:lang w:bidi="ar"/>
        </w:rPr>
        <w:t>余吨的危险废物都实现了全过程可追溯。</w:t>
      </w:r>
    </w:p>
    <w:p w14:paraId="62F9F198" w14:textId="77777777" w:rsidR="00F72B1B" w:rsidRDefault="00000000">
      <w:pPr>
        <w:widowControl w:val="0"/>
        <w:numPr>
          <w:ilvl w:val="255"/>
          <w:numId w:val="0"/>
        </w:numPr>
        <w:spacing w:line="600" w:lineRule="exact"/>
        <w:ind w:firstLineChars="200" w:firstLine="640"/>
        <w:jc w:val="both"/>
      </w:pPr>
      <w:r>
        <w:rPr>
          <w:rFonts w:ascii="Times New Roman" w:eastAsia="仿宋_GB2312" w:hAnsi="Times New Roman" w:hint="eastAsia"/>
          <w:sz w:val="32"/>
          <w:szCs w:val="32"/>
          <w:lang w:bidi="ar"/>
        </w:rPr>
        <w:t>目前，上海环境危废处理处置技术涵盖了焚烧、填埋和资源化等三大类。其中，焚烧技术是目前危废处理的主要方式之一。通过集中焚烧，在无害化处置危废的同时，能够有效地减容</w:t>
      </w:r>
      <w:r>
        <w:rPr>
          <w:rFonts w:ascii="Times New Roman" w:eastAsia="仿宋_GB2312" w:hAnsi="Times New Roman" w:hint="eastAsia"/>
          <w:sz w:val="32"/>
          <w:szCs w:val="32"/>
          <w:lang w:bidi="ar"/>
        </w:rPr>
        <w:t>85%</w:t>
      </w:r>
      <w:r>
        <w:rPr>
          <w:rFonts w:ascii="Times New Roman" w:eastAsia="仿宋_GB2312" w:hAnsi="Times New Roman" w:hint="eastAsia"/>
          <w:sz w:val="32"/>
          <w:szCs w:val="32"/>
          <w:lang w:bidi="ar"/>
        </w:rPr>
        <w:t>以上，剩余焚烧残渣、飞灰则通过填埋处置。此外，危废焚烧还能实现发电上网，一吨危废焚烧产生热能可发电</w:t>
      </w:r>
      <w:r>
        <w:rPr>
          <w:rFonts w:ascii="Times New Roman" w:eastAsia="仿宋_GB2312" w:hAnsi="Times New Roman" w:hint="eastAsia"/>
          <w:sz w:val="32"/>
          <w:szCs w:val="32"/>
          <w:lang w:bidi="ar"/>
        </w:rPr>
        <w:t>400</w:t>
      </w:r>
      <w:r>
        <w:rPr>
          <w:rFonts w:ascii="Times New Roman" w:eastAsia="仿宋_GB2312" w:hAnsi="Times New Roman" w:hint="eastAsia"/>
          <w:sz w:val="32"/>
          <w:szCs w:val="32"/>
          <w:lang w:bidi="ar"/>
        </w:rPr>
        <w:t>千瓦时。（上海城投集团）</w:t>
      </w:r>
    </w:p>
    <w:sectPr w:rsidR="00F72B1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CF12" w14:textId="77777777" w:rsidR="00643E2B" w:rsidRDefault="00643E2B">
      <w:r>
        <w:separator/>
      </w:r>
    </w:p>
  </w:endnote>
  <w:endnote w:type="continuationSeparator" w:id="0">
    <w:p w14:paraId="19058E27" w14:textId="77777777" w:rsidR="00643E2B" w:rsidRDefault="0064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26D0A4BA" w14:textId="77777777" w:rsidR="00F72B1B"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2D4C38BB" w14:textId="77777777" w:rsidR="00F72B1B" w:rsidRDefault="00F72B1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2650AF7E" w14:textId="77777777" w:rsidR="00F72B1B"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00694EB1" w14:textId="77777777" w:rsidR="00F72B1B" w:rsidRDefault="00F72B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695F" w14:textId="77777777" w:rsidR="00643E2B" w:rsidRDefault="00643E2B">
      <w:r>
        <w:separator/>
      </w:r>
    </w:p>
  </w:footnote>
  <w:footnote w:type="continuationSeparator" w:id="0">
    <w:p w14:paraId="13C5EAF3" w14:textId="77777777" w:rsidR="00643E2B" w:rsidRDefault="00643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652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C8738"/>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3E2B"/>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2F20"/>
    <w:rsid w:val="00F53C34"/>
    <w:rsid w:val="00F567A6"/>
    <w:rsid w:val="00F72B1B"/>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3E6914"/>
    <w:rsid w:val="0C582584"/>
    <w:rsid w:val="0C5D06E6"/>
    <w:rsid w:val="0C6C3047"/>
    <w:rsid w:val="0C7565A8"/>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1223B"/>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7665C"/>
    <w:rsid w:val="516A3A56"/>
    <w:rsid w:val="519138FA"/>
    <w:rsid w:val="51974FB6"/>
    <w:rsid w:val="51C276E7"/>
    <w:rsid w:val="51F64CB1"/>
    <w:rsid w:val="51FA933B"/>
    <w:rsid w:val="51FDE05F"/>
    <w:rsid w:val="521EFBAC"/>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011556"/>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1485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7D7666A"/>
  <w15:docId w15:val="{DB0715E0-04E6-B44E-B329-50F33E03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2023-04-14T01:13:00Z</cp:lastPrinted>
  <dcterms:created xsi:type="dcterms:W3CDTF">2022-12-29T01:47:00Z</dcterms:created>
  <dcterms:modified xsi:type="dcterms:W3CDTF">2023-04-17T09:13:00Z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044F53CAEA9528BE01D237641C925D7C</vt:lpwstr>
  </property>
</Properties>
</file>