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31</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19"/>
          <w:w w:val="94"/>
          <w:kern w:val="0"/>
          <w:sz w:val="28"/>
          <w:highlight w:val="none"/>
          <w:fitText w:val="5040" w:id="-1531678206"/>
        </w:rPr>
        <w:t>室</w:t>
      </w:r>
    </w:p>
    <w:p>
      <w:pPr>
        <w:widowControl w:val="0"/>
        <w:spacing w:line="360" w:lineRule="exact"/>
        <w:ind w:right="-101" w:rightChars="-42"/>
        <w:rPr>
          <w:rFonts w:ascii="楷体_GB2312" w:eastAsia="楷体_GB2312"/>
          <w:spacing w:val="-14"/>
          <w:sz w:val="28"/>
          <w:highlight w:val="none"/>
          <w:u w:val="single" w:color="FF0000"/>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8</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23</w:t>
      </w:r>
      <w:r>
        <w:rPr>
          <w:rFonts w:hint="eastAsia" w:ascii="楷体_GB2312" w:eastAsia="楷体_GB2312"/>
          <w:spacing w:val="-14"/>
          <w:sz w:val="28"/>
          <w:highlight w:val="none"/>
          <w:u w:val="single" w:color="FF0000"/>
        </w:rPr>
        <w:t>日</w:t>
      </w:r>
    </w:p>
    <w:p>
      <w:pPr>
        <w:widowControl w:val="0"/>
        <w:spacing w:line="360" w:lineRule="exact"/>
        <w:ind w:right="-101" w:rightChars="-42"/>
        <w:rPr>
          <w:rFonts w:ascii="楷体_GB2312" w:eastAsia="楷体_GB2312"/>
          <w:spacing w:val="-14"/>
          <w:sz w:val="28"/>
          <w:highlight w:val="none"/>
          <w:u w:val="single" w:color="FF0000"/>
        </w:rPr>
      </w:pPr>
    </w:p>
    <w:p>
      <w:pPr>
        <w:widowControl w:val="0"/>
        <w:numPr>
          <w:ilvl w:val="0"/>
          <w:numId w:val="1"/>
        </w:numPr>
        <w:spacing w:after="156" w:afterLines="50"/>
        <w:ind w:right="-101" w:rightChars="-42"/>
        <w:rPr>
          <w:rFonts w:hint="eastAsia" w:ascii="Times New Roman" w:hAnsi="Times New Roman" w:eastAsia="楷体_GB2312"/>
          <w:b/>
          <w:bCs/>
          <w:sz w:val="32"/>
          <w:szCs w:val="32"/>
          <w:highlight w:val="none"/>
          <w:lang w:bidi="ar"/>
        </w:rPr>
      </w:pPr>
      <w:r>
        <w:rPr>
          <w:rFonts w:hint="eastAsia" w:ascii="Times New Roman" w:hAnsi="Times New Roman" w:eastAsia="楷体_GB2312"/>
          <w:b/>
          <w:bCs/>
          <w:sz w:val="32"/>
          <w:szCs w:val="32"/>
          <w:highlight w:val="none"/>
          <w:lang w:eastAsia="zh-CN" w:bidi="ar"/>
        </w:rPr>
        <w:t>重要动态</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华文中宋" w:hAnsi="华文中宋" w:eastAsia="华文中宋" w:cs="华文中宋"/>
          <w:i w:val="0"/>
          <w:caps w:val="0"/>
          <w:color w:val="auto"/>
          <w:spacing w:val="0"/>
          <w:kern w:val="0"/>
          <w:sz w:val="36"/>
          <w:szCs w:val="36"/>
          <w:highlight w:val="none"/>
          <w:shd w:val="clear" w:color="auto" w:fill="FFFFFF"/>
          <w:lang w:val="en-US" w:eastAsia="zh-CN" w:bidi="ar"/>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上海国资国企积极助力临港新片区发展</w:t>
      </w:r>
    </w:p>
    <w:p>
      <w:pPr>
        <w:keepNext w:val="0"/>
        <w:keepLines w:val="0"/>
        <w:widowControl/>
        <w:suppressLineNumbers w:val="0"/>
        <w:ind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上海国资国企积极参与临港新片区建设，立足主业共同助力新片区高质量发展。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上海城投集团：打造“城市物业管家”更广领域服务新片区。</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上海城投集团落实与临港新片区管委会的战略合作协议，以进一步打造新片区“城市物业管家”为目标，整合城市服务相关资源，成立上海兴合置业服务有限公司。</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国泰君安：推动金融服务与科技创新双向赋能。</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国泰君安参与临港新片区金融改革开放试点。国泰君安为助力临港新兴金融业建立了上海临港国泰君安科技前沿产业基金与国泰君安临港新片区创新型机构，服务临港新片区加快形成以关键核心技术为突破口的前沿产业集群。</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海通证券：为实体企业发展提供全生命周期的综合金融服务。</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海通证券发挥“投、融、保、研”和财富管理业务联动优势，助力临港新片区经济社会发展。海通证券主导发行了上海地产自贸区人民币债券和临港投控交易所公司债券，积极支持新片区基础设施建设。</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临港集团：科技赋能新型国际贸易发展。</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上线</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国贸公服”数字平台，包括功能型门户网站和智能小程序两大应用窗口。通过集合商事登记、政策咨询、资质办理等一站式企业智慧服务，以及基于大数据的企业画像评估、贸易合规支持及综合金融服务，为企业及金融机构等提供一站式的数字化集成解决方案。</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上汽集团：整合产业链优势资源及强大技术实力。</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由上汽人工智能实验室（上汽AI LAB）主办的“上汽AI LAB入驻临港——暨高级别自动驾驶2.0技术架构发布会”在临港举行。该方案整合上汽集团产业链优势资源，实现以业务驱动为主的技术成果转化，推动自动驾驶在城市场景中的规模化落地应用，促进临港地区的智能化、网联化、规模化发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华建集团：用“智绘”之笔助力临港新片区跑出发展加速度。</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华建集团上海现代建筑规划设计研究院有限公司临港入驻仪式举行。现代院作为城乡规划、人居环境、园区建设、城市更新等专项业务领域的实践者，为打造高品质临港新片区提供了扎实的专业技术支撑。（上海城投集团、国泰君安、海通证券、临港集团、上汽集团、华建集团）</w:t>
      </w:r>
    </w:p>
    <w:p>
      <w:pPr>
        <w:spacing w:line="600" w:lineRule="exact"/>
        <w:rPr>
          <w:rFonts w:hint="eastAsia" w:ascii="Times New Roman" w:hAnsi="Times New Roman" w:eastAsia="仿宋_GB2312" w:cs="仿宋_GB2312"/>
          <w:color w:val="auto"/>
          <w:sz w:val="32"/>
          <w:szCs w:val="32"/>
          <w:highlight w:val="none"/>
          <w:shd w:val="clear" w:color="auto" w:fill="FFFFFF"/>
          <w:lang w:eastAsia="zh-CN" w:bidi="ar"/>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上海国资国企助力长三角一体化发展取得新成效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自长三角一体化发展上升为国家战略以来，上海国资国企积极投入，主动作为，服务推动长三角区域一体化发展，助力长三角一体化发展进入快车道。</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建设高质量基础设施。</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上海地产集团</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建设虹桥综合交通枢纽西交广场综合提升工程，完善虹桥综合交通枢纽功能；打造虹桥进口商品展示交易中心（二期）项目，助力构建联动长三角、服务全国、辐射亚太的进口商品集散地；通过北虹桥区域开发项目，实现区域城市品质和发展能级的整体提升。</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上海建工</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（浙江）水利水电建设有限公司加速推进长三角示范区重点工程淀山湖岸线修复，在贯通岸线的同时，提升沿线生态品质。</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隧道股份</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围绕乡村振兴、生态文明建设战略，积极承接湖州市南浔区乡村产业空间规划和平湖市中心城区完整街道品质提升项目。</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上海建科集团</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主业板块在长三角地区多个城市设立属地服务机构，确保义乌大剧院、绍兴高铁北站TOD、巢马城际铁路、南京总统府等项目高效有序推进。</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上咨集团</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协助示范区执委会研究出台项目计划库管理、跨域项目审批、核准、备案全过程管理办法；参与水乡客厅项目开发机制研究，协助三地八方完成水乡客厅项目投融资方案。</w:t>
      </w:r>
    </w:p>
    <w:p>
      <w:pPr>
        <w:widowControl/>
        <w:numPr>
          <w:ilvl w:val="-1"/>
          <w:numId w:val="0"/>
        </w:numPr>
        <w:spacing w:after="0" w:afterLines="-2147483648" w:line="600" w:lineRule="exact"/>
        <w:ind w:left="0" w:right="0" w:rightChars="0" w:firstLine="643"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提供高水平金融支持。</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浦发银行</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在业内率先推出“长三角系列”金融产品，提升重点领域支持力度；优化科创金融服务体系，支持长三角打造成为全国创新策源地；为长三角客户配置属地化专属权益活动，推动长三角地区“绿色经济生态”。</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上海银行</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聚焦长三角优质企业和项目，以供应链为抓手，携手区域政企建立产业合作联盟，服务长三角一体化发展；与国泰君安联合成立“长三角科创企业联合服务平台”，聚焦区域科创企业投贷联动服务。作为长三角G60科创走廊金融服务联盟的理事长单位，</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海通证券</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充分发挥头部券商的带动作用及“投、融、保、研”和财富管理一体化综合金融服务优势，服务长三角一体化国家战略。</w:t>
      </w:r>
    </w:p>
    <w:p>
      <w:pPr>
        <w:widowControl/>
        <w:numPr>
          <w:ilvl w:val="-1"/>
          <w:numId w:val="0"/>
        </w:numPr>
        <w:spacing w:after="0" w:afterLines="-2147483648" w:line="600" w:lineRule="exact"/>
        <w:ind w:left="0" w:right="0" w:rightChars="0" w:firstLine="643"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打造高品质公共服务。</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上海地铁牵头推进长三角城轨乘车码互联互通，发起建立了长三角城轨圆桌会议机制，确立了互通5项原则（设备不改造、支付渠道本地化、优惠本地化、账户票款保障、应用共享共建），实现“互通无障碍”。</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申能集团</w:t>
      </w:r>
      <w:r>
        <w:rPr>
          <w:rFonts w:hint="eastAsia" w:ascii="Times New Roman" w:hAnsi="Times New Roman" w:eastAsia="仿宋_GB2312" w:cs="仿宋_GB2312"/>
          <w:color w:val="auto"/>
          <w:sz w:val="32"/>
          <w:szCs w:val="32"/>
          <w:highlight w:val="none"/>
          <w:shd w:val="clear" w:color="auto" w:fill="FFFFFF"/>
          <w:lang w:bidi="ar"/>
        </w:rPr>
        <w:t>将建立能源互济互保的长三角一体化机制，从能源供给上保障长三角经济民生。依托长三角碳中和产学研联盟、长三角能源互济互保的一体化机制，与长三角地区能源企业加强沟通，共同服务国家“双碳”战略。</w:t>
      </w:r>
      <w:r>
        <w:rPr>
          <w:rFonts w:hint="eastAsia" w:ascii="Times New Roman" w:hAnsi="Times New Roman" w:eastAsia="仿宋_GB2312" w:cs="仿宋_GB2312"/>
          <w:b/>
          <w:bCs/>
          <w:i w:val="0"/>
          <w:caps w:val="0"/>
          <w:color w:val="auto"/>
          <w:spacing w:val="0"/>
          <w:kern w:val="0"/>
          <w:sz w:val="32"/>
          <w:szCs w:val="32"/>
          <w:highlight w:val="none"/>
          <w:shd w:val="clear" w:color="auto" w:fill="FFFFFF"/>
          <w:lang w:val="en-US" w:eastAsia="zh-CN" w:bidi="ar"/>
        </w:rPr>
        <w:t>光明食品集团</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联手长三角区域各地，加快重要民生商品的储藏、加工、物流基地建设；光明母港垂直农业研究中心正式启动运营，将在长三角推广垂直农业设施装备和种植技术。（</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上海地产集团、上海建工、隧道股份、上海建科集团、上咨集团、浦发银行、上海银行、海通证券、申能集团、光明食品集团</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p>
      <w:pPr>
        <w:pStyle w:val="2"/>
        <w:rPr>
          <w:rFonts w:hint="eastAsia"/>
          <w:lang w:val="en-US" w:eastAsia="zh-CN"/>
        </w:rPr>
      </w:pPr>
      <w:bookmarkStart w:id="0" w:name="_GoBack"/>
      <w:bookmarkEnd w:id="0"/>
    </w:p>
    <w:p>
      <w:pPr>
        <w:widowControl w:val="0"/>
        <w:numPr>
          <w:ilvl w:val="0"/>
          <w:numId w:val="1"/>
        </w:numPr>
        <w:spacing w:after="156" w:afterLines="50"/>
        <w:ind w:right="-101" w:rightChars="-42"/>
        <w:rPr>
          <w:rFonts w:ascii="Times New Roman" w:hAnsi="Times New Roman" w:eastAsia="仿宋_GB2312"/>
          <w:sz w:val="32"/>
          <w:szCs w:val="32"/>
          <w:highlight w:val="none"/>
          <w:lang w:bidi="ar"/>
        </w:rPr>
      </w:pPr>
      <w:r>
        <w:rPr>
          <w:rFonts w:hint="eastAsia" w:ascii="Times New Roman" w:hAnsi="Times New Roman" w:eastAsia="楷体_GB2312"/>
          <w:b/>
          <w:bCs/>
          <w:sz w:val="32"/>
          <w:szCs w:val="32"/>
          <w:highlight w:val="none"/>
        </w:rPr>
        <w:t>金融工作</w:t>
      </w: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Style w:val="13"/>
          <w:rFonts w:hint="eastAsia" w:ascii="华文中宋" w:hAnsi="华文中宋" w:eastAsia="华文中宋" w:cs="宋体"/>
          <w:b w:val="0"/>
          <w:bCs w:val="0"/>
          <w:i w:val="0"/>
          <w:caps w:val="0"/>
          <w:color w:val="auto"/>
          <w:spacing w:val="0"/>
          <w:sz w:val="36"/>
          <w:szCs w:val="36"/>
          <w:highlight w:val="none"/>
          <w:shd w:val="clear"/>
        </w:rPr>
      </w:pPr>
      <w:r>
        <w:rPr>
          <w:rStyle w:val="13"/>
          <w:rFonts w:hint="eastAsia" w:ascii="华文中宋" w:hAnsi="华文中宋" w:eastAsia="华文中宋" w:cs="宋体"/>
          <w:b w:val="0"/>
          <w:bCs w:val="0"/>
          <w:i w:val="0"/>
          <w:caps w:val="0"/>
          <w:color w:val="auto"/>
          <w:spacing w:val="0"/>
          <w:sz w:val="36"/>
          <w:szCs w:val="36"/>
          <w:highlight w:val="none"/>
          <w:shd w:val="clear"/>
        </w:rPr>
        <w:t>海通证券助力山东能源集团发行</w:t>
      </w: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Fonts w:hint="eastAsia" w:ascii="华文中宋" w:hAnsi="华文中宋" w:eastAsia="华文中宋" w:cs="宋体"/>
          <w:b w:val="0"/>
          <w:bCs w:val="0"/>
          <w:i w:val="0"/>
          <w:caps w:val="0"/>
          <w:color w:val="auto"/>
          <w:spacing w:val="0"/>
          <w:sz w:val="36"/>
          <w:szCs w:val="36"/>
          <w:highlight w:val="none"/>
        </w:rPr>
      </w:pPr>
      <w:r>
        <w:rPr>
          <w:rStyle w:val="13"/>
          <w:rFonts w:hint="eastAsia" w:ascii="华文中宋" w:hAnsi="华文中宋" w:eastAsia="华文中宋" w:cs="宋体"/>
          <w:b w:val="0"/>
          <w:bCs w:val="0"/>
          <w:i w:val="0"/>
          <w:caps w:val="0"/>
          <w:color w:val="auto"/>
          <w:spacing w:val="0"/>
          <w:sz w:val="36"/>
          <w:szCs w:val="36"/>
          <w:highlight w:val="none"/>
          <w:shd w:val="clear"/>
        </w:rPr>
        <w:t>山东省首单低碳转型挂钩公司债券</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近日，海通证券作为牵头主承销商助力山东能源集团有限公司在上海证券交易所成功发行2022年面向专业机构投资者公开发行公司债券（低碳转型挂钩债券）（第一期）。本期债券将新能源装机容量作为挂钩条款关键绩效指标，发行规模25亿元，期限5年，票面利率3.25%，募集资金用于偿还有息债务，是山东能源集团本部发行的首单公开公司债券，也是山东省首单低碳转型挂钩公司债券。</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低碳转型挂钩债券是上海证券交易所近期推出的创新型金融产品，将债券条款与低碳转型目标相挂钩，旨在满足传统行业绿色低碳转型的资金需求，进一步发挥债券市场作用，完善可持续相关债券品种类别，同时更加聚焦减碳领域。</w:t>
      </w:r>
    </w:p>
    <w:p>
      <w:pPr>
        <w:keepNext w:val="0"/>
        <w:keepLines w:val="0"/>
        <w:pageBreakBefore w:val="0"/>
        <w:widowControl/>
        <w:suppressLineNumbers w:val="0"/>
        <w:shd w:val="clear" w:fill="FFFFFF"/>
        <w:kinsoku/>
        <w:wordWrap/>
        <w:overflowPunct/>
        <w:topLinePunct w:val="0"/>
        <w:autoSpaceDE w:val="0"/>
        <w:autoSpaceDN w:val="0"/>
        <w:bidi w:val="0"/>
        <w:adjustRightInd w:val="0"/>
        <w:snapToGrid/>
        <w:spacing w:before="0" w:beforeAutospacing="0" w:after="157" w:afterLines="50" w:afterAutospacing="0"/>
        <w:ind w:left="0" w:firstLine="640" w:firstLineChars="200"/>
        <w:jc w:val="both"/>
        <w:textAlignment w:val="auto"/>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海通证券持续提升绿色金融服务能力，支持实体经济绿色发展、循环发展、低碳发展。2022年上半年，海通证券共发行绿色债券14支，发行规模合计327亿元，实际承销规模合计54.46亿元，发行人覆盖八个省份的轨道交通、金融机构、公用事业等行业主体。（海通证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7" w:afterLines="50" w:afterAutospacing="0"/>
        <w:ind w:left="0" w:firstLine="0"/>
        <w:jc w:val="center"/>
        <w:textAlignment w:val="auto"/>
        <w:rPr>
          <w:rFonts w:hint="eastAsia"/>
        </w:rPr>
      </w:pP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Fonts w:hint="eastAsia" w:ascii="华文中宋" w:hAnsi="华文中宋" w:eastAsia="华文中宋" w:cs="宋体"/>
          <w:b w:val="0"/>
          <w:bCs w:val="0"/>
          <w:i w:val="0"/>
          <w:caps w:val="0"/>
          <w:color w:val="auto"/>
          <w:spacing w:val="0"/>
          <w:sz w:val="36"/>
          <w:szCs w:val="36"/>
          <w:highlight w:val="none"/>
        </w:rPr>
      </w:pPr>
      <w:r>
        <w:rPr>
          <w:rStyle w:val="13"/>
          <w:rFonts w:hint="eastAsia" w:ascii="华文中宋" w:hAnsi="华文中宋" w:eastAsia="华文中宋" w:cs="宋体"/>
          <w:b w:val="0"/>
          <w:bCs w:val="0"/>
          <w:i w:val="0"/>
          <w:caps w:val="0"/>
          <w:color w:val="auto"/>
          <w:spacing w:val="0"/>
          <w:sz w:val="36"/>
          <w:szCs w:val="36"/>
          <w:highlight w:val="none"/>
          <w:shd w:val="clear"/>
        </w:rPr>
        <w:t>国泰君安助力比亚迪汽车金融绿色金融ABS发行</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近日，国泰君安作为牵头主承销商和薄记管理人，助力比亚迪汽车金融“盛世融迪2022年第三期个人汽车抵押贷款绿色资产支持证券”（简称“盛世融迪2022-3”）在银行间债券市场成功发行。</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该项目获中国人民银行140亿注册额度，首期优先级证券45亿，占比90%，次级证券5亿，占比10%。为响应节能减排环保政策号召，比亚迪汽车金融以新能源汽车个人贷款为基础资产落地了其第3单绿色车贷ABS（资产支持证券）。本期绿色资产支持证券对应的基础资产预计每年可实现二氧化碳减排6.90万吨，节约标准煤4.63万吨等。在8月2日簿记当天，项目优先级收获全场认购倍数2.25倍，发行利率2.0%，创下2021年以来车贷ABS产品最低票面利率纪录。</w:t>
      </w:r>
    </w:p>
    <w:p>
      <w:pPr>
        <w:widowControl/>
        <w:autoSpaceDE w:val="0"/>
        <w:autoSpaceDN w:val="0"/>
        <w:adjustRightInd w:val="0"/>
        <w:ind w:firstLine="640" w:firstLineChars="200"/>
        <w:jc w:val="both"/>
        <w:rPr>
          <w:rFonts w:hint="eastAsia" w:ascii="Times New Roman" w:hAnsi="Times New Roman" w:eastAsia="仿宋_GB2312" w:cs="宋体"/>
          <w:color w:val="auto"/>
          <w:kern w:val="0"/>
          <w:sz w:val="32"/>
          <w:szCs w:val="32"/>
          <w:highlight w:val="none"/>
          <w:lang w:eastAsia="zh-CN" w:bidi="ar"/>
        </w:rPr>
      </w:pPr>
      <w:r>
        <w:rPr>
          <w:rFonts w:hint="eastAsia" w:ascii="Times New Roman" w:hAnsi="Times New Roman" w:eastAsia="仿宋_GB2312" w:cs="宋体"/>
          <w:color w:val="auto"/>
          <w:kern w:val="0"/>
          <w:sz w:val="32"/>
          <w:szCs w:val="32"/>
          <w:highlight w:val="none"/>
          <w:lang w:eastAsia="zh-CN" w:bidi="ar"/>
        </w:rPr>
        <w:t>国泰君安积极服务国家“双碳”战略目标，协助各类企业客户发行绿色金融产品，引导资金更多地流向绿色消费和绿色产业。截至目前，已助力超80亿资金扶持新能源汽车行业，绿色车贷ABS承销数量及规模位居市场首位。（国泰君安）</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p>
    <w:p>
      <w:pPr>
        <w:widowControl w:val="0"/>
        <w:numPr>
          <w:ilvl w:val="0"/>
          <w:numId w:val="1"/>
        </w:numPr>
        <w:spacing w:after="156" w:afterLines="50"/>
        <w:ind w:right="-101" w:rightChars="-42"/>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b/>
          <w:bCs/>
          <w:color w:val="auto"/>
          <w:sz w:val="32"/>
          <w:szCs w:val="32"/>
          <w:highlight w:val="none"/>
        </w:rPr>
        <w:t>国企之窗</w:t>
      </w:r>
    </w:p>
    <w:p>
      <w:pPr>
        <w:pStyle w:val="11"/>
        <w:widowControl w:val="0"/>
        <w:spacing w:before="156" w:beforeLines="50" w:beforeAutospacing="0" w:after="156" w:afterLines="50" w:afterAutospacing="0"/>
        <w:jc w:val="center"/>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上海建工拓展全国市场 服务福建城市建设</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几年，上海建工先后承建了福州滨海新城东站南路跨东湖大桥工程、莆田市北岸经济开发区保障性安居工程及品质提升工程、厦门市污水系统正本清源类项目、福州江阴电厂、青洲大桥、福州轨道交通1号线、中国建设银行福建省分行综合业务楼、莆田涵江医院新院址、泉州五里桥文化公园、泉州海上丝绸之路生态公园、泉州海上丝绸之路艺术公园亚洲园、三明沙县小吃文化城等一批重要工程项目，覆盖交通、医疗、民生、环境等多个领域，合同总金额近100亿元。</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b/>
          <w:bCs/>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在福建区域，上海建工目前在建的重点项目包括太保家园厦门国际颐养社区项目，总建筑面积达13.7万平方米，总投资16.39亿元，2021年5月通过装配式建筑设计认定，是厦门首个国有投融资的装配式建筑、厦门首个建设用地全部实施装配方式建造的建筑。上实泉州海上海C-8-1地块项目，总包合同造价10.66亿元，总建筑面积35.1万平方米。泉州中烯石墨烯系列新材料生产线项目，总投资15亿元、总建筑面积约27万平方米，分两期建设。</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今年5月底，上海建工新中标福清闽台蓝色经济产业园基础设施建设项目（一期）道路工程，项目共包含5条道路，路线总长约10公里，建安费约6.18亿元。福清闽台蓝色经济产业园是由国务院正式批准《福建海峡蓝色经济试验区发展规划》的园区，园区后续将投入100亿元，形成四纵四横的主干路网。（上海建工）</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after="157" w:afterLines="50" w:line="600" w:lineRule="exact"/>
        <w:jc w:val="center"/>
        <w:textAlignment w:val="auto"/>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申能集团助力上海完成53公里燃气隐患管道整治</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FFFFFF"/>
          <w:lang w:eastAsia="zh-CN"/>
        </w:rPr>
      </w:pPr>
      <w:r>
        <w:rPr>
          <w:rFonts w:hint="eastAsia" w:ascii="Times New Roman" w:hAnsi="Times New Roman" w:eastAsia="仿宋_GB2312" w:cs="仿宋_GB2312"/>
          <w:i w:val="0"/>
          <w:caps w:val="0"/>
          <w:color w:val="auto"/>
          <w:spacing w:val="0"/>
          <w:sz w:val="32"/>
          <w:szCs w:val="32"/>
          <w:highlight w:val="none"/>
          <w:shd w:val="clear" w:color="auto" w:fill="FFFFFF"/>
          <w:lang w:eastAsia="zh-CN"/>
        </w:rPr>
        <w:t>申能集团在炎炎夏日里守牢上海能源保供防线。作为重点任务之一，今年完成53公里燃气隐患管道整治。到年底，在全面排查摸清底数的基础上，确保地下管线隐患基本清零。</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FFFFFF"/>
          <w:lang w:eastAsia="zh-CN"/>
        </w:rPr>
      </w:pPr>
      <w:r>
        <w:rPr>
          <w:rFonts w:hint="eastAsia" w:ascii="Times New Roman" w:hAnsi="Times New Roman" w:eastAsia="仿宋_GB2312" w:cs="仿宋_GB2312"/>
          <w:i w:val="0"/>
          <w:caps w:val="0"/>
          <w:color w:val="auto"/>
          <w:spacing w:val="0"/>
          <w:sz w:val="32"/>
          <w:szCs w:val="32"/>
          <w:highlight w:val="none"/>
          <w:shd w:val="clear" w:color="auto" w:fill="FFFFFF"/>
          <w:lang w:eastAsia="zh-CN"/>
        </w:rPr>
        <w:t>今年，浦东有四处燃气隐患管道改造，龙阳路地铁站的管道改造已完成，沪南公路和浦城路工程正在进行，张扬路工程将结合道路改造同步实施。而在全市范围内，今年将完成53公里燃气隐患管道整治任务，53公里主要集中在中心城区，尤其是北面的四个区，目前已完成了34.8公里的改造任务。计划所有隐患在年内全部消除，排查工作不停歇，日后对于发现的隐患，及时短时间内予以整治。</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FFFFFF"/>
          <w:lang w:eastAsia="zh-CN"/>
        </w:rPr>
      </w:pPr>
      <w:r>
        <w:rPr>
          <w:rFonts w:hint="eastAsia" w:ascii="Times New Roman" w:hAnsi="Times New Roman" w:eastAsia="仿宋_GB2312" w:cs="仿宋_GB2312"/>
          <w:i w:val="0"/>
          <w:caps w:val="0"/>
          <w:color w:val="auto"/>
          <w:spacing w:val="0"/>
          <w:sz w:val="32"/>
          <w:szCs w:val="32"/>
          <w:highlight w:val="none"/>
          <w:shd w:val="clear" w:color="auto" w:fill="FFFFFF"/>
          <w:lang w:eastAsia="zh-CN"/>
        </w:rPr>
        <w:t>根据《本市地下管线安全排查和整治工作方案》，到今年底，在全面排查摸清底数的基础上，将确保排查出的管线隐患基本清零，积极推进老旧管线更新改造。同时，以“管线地理信息库”为基础，建设全市统一的地下市政基础设施综合管理信息平台。到2024年底，老旧管线更新改造基本完成，全面建成互联互通的设施智能感知网络，实现地下管线管理数字化转型，城市安全韧性显著提升。（申能集团）</w:t>
      </w:r>
    </w:p>
    <w:p>
      <w:pPr>
        <w:pStyle w:val="2"/>
        <w:rPr>
          <w:rFonts w:hint="eastAsia"/>
          <w:lang w:eastAsia="zh-CN"/>
        </w:rPr>
      </w:pPr>
    </w:p>
    <w:p>
      <w:pPr>
        <w:keepNext w:val="0"/>
        <w:keepLines w:val="0"/>
        <w:widowControl w:val="0"/>
        <w:suppressLineNumbers w:val="0"/>
        <w:spacing w:before="156" w:beforeLines="50" w:after="156" w:afterLines="50"/>
        <w:jc w:val="center"/>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上港集团在以色列海法新港采用“中国芯”</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eastAsia="zh-CN" w:bidi="ar"/>
        </w:rPr>
        <w:t>位于地中海之滨的海法是以色列重要港口城市，老港口旁有一座新港口由上港集团修建并运营。上港集团以色列公司团队正在把海法新港打造成为一个技术先进、运作高效、绿色环保的现代化集装箱码头。</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2014年7月，应以色列政府邀请，上港集团参与海法新港建设、运营国际投标项目，并于2015年3月获得海法新港码头的码头运营权。海法新港是上港集团在海外承建运营的第一个项目，团队克服种种困难，保证了一期工程如期完工，并且已经在2021年9月开港运营。</w:t>
      </w:r>
    </w:p>
    <w:p>
      <w:pPr>
        <w:widowControl w:val="0"/>
        <w:autoSpaceDE w:val="0"/>
        <w:autoSpaceDN w:val="0"/>
        <w:adjustRightInd w:val="0"/>
        <w:spacing w:before="156" w:beforeLines="50" w:beforeAutospacing="0" w:after="156" w:afterLines="50" w:afterAutospacing="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海法新港一期码头年设计吞吐量为106万标准箱，配备桥吊8台，轨道吊22台。海法新港的建设和运营移植了洋山港四期积累的技术成果和成熟经验，全部使用“中国大脑、中国制造、中国品牌、中国标准、中国服务”，核心系统是上港集团全自主研发的具有自主知识产权的智能自动化码头操作系统。如今，“中国经验”已成为海法新港的建设标准，完全输入了中国对港口的解决方案，采用中国芯。海法新港有效改善了以色列物流环境，对解决当地劳动力就业也起到了促进作用。（上港集团）</w:t>
      </w:r>
    </w:p>
    <w:p>
      <w:pPr>
        <w:pStyle w:val="3"/>
        <w:rPr>
          <w:rFonts w:hint="eastAsia"/>
          <w:lang w:eastAsia="zh-CN"/>
        </w:rPr>
      </w:pPr>
    </w:p>
    <w:p>
      <w:pPr>
        <w:keepNext w:val="0"/>
        <w:keepLines w:val="0"/>
        <w:widowControl w:val="0"/>
        <w:suppressLineNumbers w:val="0"/>
        <w:spacing w:before="156" w:beforeLines="50" w:after="156" w:afterLines="50"/>
        <w:jc w:val="center"/>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上汽集团享道出行完成超10亿元B轮战略融资</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eastAsia="zh-CN" w:bidi="ar"/>
        </w:rPr>
        <w:t>日前</w:t>
      </w:r>
      <w:r>
        <w:rPr>
          <w:rFonts w:hint="eastAsia" w:ascii="Times New Roman" w:hAnsi="Times New Roman" w:eastAsia="仿宋_GB2312"/>
          <w:color w:val="auto"/>
          <w:sz w:val="32"/>
          <w:szCs w:val="32"/>
          <w:highlight w:val="none"/>
          <w:lang w:bidi="ar"/>
        </w:rPr>
        <w:t>，</w:t>
      </w:r>
      <w:r>
        <w:rPr>
          <w:rFonts w:hint="eastAsia" w:ascii="Times New Roman" w:hAnsi="Times New Roman" w:eastAsia="仿宋_GB2312"/>
          <w:color w:val="auto"/>
          <w:sz w:val="32"/>
          <w:szCs w:val="32"/>
          <w:highlight w:val="none"/>
          <w:lang w:eastAsia="zh-CN" w:bidi="ar"/>
        </w:rPr>
        <w:t>上汽集团</w:t>
      </w:r>
      <w:r>
        <w:rPr>
          <w:rFonts w:hint="eastAsia" w:ascii="Times New Roman" w:hAnsi="Times New Roman" w:eastAsia="仿宋_GB2312"/>
          <w:color w:val="auto"/>
          <w:sz w:val="32"/>
          <w:szCs w:val="32"/>
          <w:highlight w:val="none"/>
          <w:lang w:bidi="ar"/>
        </w:rPr>
        <w:t>享道出行在合作伙伴大会上，宣布完成了超10亿元人民币B轮融资。享道出行的投后估值达到10亿美元，正式跻身行业“独角兽”行列。</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2021年12月，上汽集团四大重大创新发展战略项目之一、国内首个车企L4自动驾驶运营平台——享道Robotaxi正式启动。该项目整合上汽人工智能实验室等上汽生态圈和产业链优势资源，将“成熟出行运营经验”与“领先自动驾驶技术”结合，创新构建“智造+AI+运营”的三位一体模式，携手探索L4自动驾驶技术在城市出行场景的运用和创新。</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截至目前，“享道租车”已深耕行业30年，业务覆盖154个城市，服务超300多家世界五百强企业，长租业务市场占有率国内第一。创新业务享道Robotaxi车队落地上海和苏州，开放运营点位超过100个，首批入选上海市智能网联汽车示范应用创新试点名单。（上汽集团）</w:t>
      </w:r>
    </w:p>
    <w:p>
      <w:pPr>
        <w:widowControl/>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p>
    <w:p>
      <w:pPr>
        <w:keepNext w:val="0"/>
        <w:keepLines w:val="0"/>
        <w:widowControl w:val="0"/>
        <w:suppressLineNumbers w:val="0"/>
        <w:spacing w:before="156" w:beforeLines="50" w:after="156" w:afterLines="50"/>
        <w:jc w:val="center"/>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锦江国际集团下属丽笙酒店加大亚太市场开拓力度</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eastAsia="zh-CN" w:bidi="ar"/>
        </w:rPr>
        <w:t>日前</w:t>
      </w:r>
      <w:r>
        <w:rPr>
          <w:rFonts w:hint="eastAsia" w:ascii="Times New Roman" w:hAnsi="Times New Roman" w:eastAsia="仿宋_GB2312"/>
          <w:color w:val="auto"/>
          <w:sz w:val="32"/>
          <w:szCs w:val="32"/>
          <w:highlight w:val="none"/>
          <w:lang w:bidi="ar"/>
        </w:rPr>
        <w:t>，</w:t>
      </w:r>
      <w:r>
        <w:rPr>
          <w:rFonts w:hint="eastAsia" w:ascii="Times New Roman" w:hAnsi="Times New Roman" w:eastAsia="仿宋_GB2312"/>
          <w:color w:val="auto"/>
          <w:sz w:val="32"/>
          <w:szCs w:val="32"/>
          <w:highlight w:val="none"/>
          <w:lang w:eastAsia="zh-CN" w:bidi="ar"/>
        </w:rPr>
        <w:t>锦江国际集团下属</w:t>
      </w:r>
      <w:r>
        <w:rPr>
          <w:rFonts w:hint="eastAsia" w:ascii="Times New Roman" w:hAnsi="Times New Roman" w:eastAsia="仿宋_GB2312"/>
          <w:color w:val="auto"/>
          <w:sz w:val="32"/>
          <w:szCs w:val="32"/>
          <w:highlight w:val="none"/>
          <w:lang w:bidi="ar"/>
        </w:rPr>
        <w:t>丽笙酒店进一步扩大亚太地区业务，释放多元化品牌和合作伙伴力量，计划通过自然增长、合并和收购、加盟和租赁，在2025年实现亚太地区400%的增长。</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该计划以印度、泰国、越南、澳大利亚和新西兰五个战略增长市场为重点，将其作为目的地和重要的对外业务来源，携手与集团及集团酒店旗下品牌企业激发中国市场的潜力。在印度，丽笙酒店在全国60多个地点运营了100多家酒店，未来将通过寻求新的战略合作伙伴关系，以加强其作为印度首选酒店供应商的地位，进一步推动在印度市场的占有率。在泰国、越南、印度尼西亚和大洋洲，丽笙酒店分别在曼谷、胡志明市、雅加达和悉尼建立了新的业务部门，并将建立当地的开发运营团队，为核心市场提供当地专家支持。此外，在亚太地区的特定市场，丽笙酒店可通过与集团酒店旗下企业签订的授权协议，开发和管理7天品牌和都城品牌。</w:t>
      </w:r>
    </w:p>
    <w:p>
      <w:pPr>
        <w:widowControl/>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未来，丽笙酒店将进一步引入多种新品牌，探索进一步的业务拓展。到2025年，将在现有400多家酒店的基础上，再增加1700家酒店和度假村。</w:t>
      </w:r>
      <w:r>
        <w:rPr>
          <w:rFonts w:hint="eastAsia" w:ascii="Times New Roman" w:hAnsi="Times New Roman" w:eastAsia="仿宋_GB2312"/>
          <w:color w:val="auto"/>
          <w:sz w:val="32"/>
          <w:szCs w:val="32"/>
          <w:highlight w:val="none"/>
          <w:lang w:eastAsia="zh-CN" w:bidi="ar"/>
        </w:rPr>
        <w:t>（锦江国际集团）</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方正宋体S-超大字符集(SIP)"/>
    <w:panose1 w:val="03010101010201010101"/>
    <w:charset w:val="00"/>
    <w:family w:val="script"/>
    <w:pitch w:val="default"/>
    <w:sig w:usb0="00000000" w:usb1="00000000" w:usb2="00000000" w:usb3="00000000" w:csb0="2000009F" w:csb1="DFD70000"/>
  </w:font>
  <w:font w:name="方正舒体">
    <w:altName w:val="黑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309108C"/>
    <w:rsid w:val="030B27EE"/>
    <w:rsid w:val="0332738A"/>
    <w:rsid w:val="0336518B"/>
    <w:rsid w:val="034D3112"/>
    <w:rsid w:val="03734FC2"/>
    <w:rsid w:val="039320A2"/>
    <w:rsid w:val="03EA5256"/>
    <w:rsid w:val="03FC4949"/>
    <w:rsid w:val="03FE15DB"/>
    <w:rsid w:val="042E07AD"/>
    <w:rsid w:val="044E2487"/>
    <w:rsid w:val="04581854"/>
    <w:rsid w:val="045D2CDA"/>
    <w:rsid w:val="04A441ED"/>
    <w:rsid w:val="04B05DEF"/>
    <w:rsid w:val="04BC02DB"/>
    <w:rsid w:val="04D213A5"/>
    <w:rsid w:val="051D3BF0"/>
    <w:rsid w:val="0561044A"/>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BFD353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D6307D"/>
    <w:rsid w:val="17EC425D"/>
    <w:rsid w:val="17ECC66A"/>
    <w:rsid w:val="17EF9815"/>
    <w:rsid w:val="17F84EE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C35F1C"/>
    <w:rsid w:val="1CDC7546"/>
    <w:rsid w:val="1CF33ECD"/>
    <w:rsid w:val="1D0258A9"/>
    <w:rsid w:val="1D07EEB4"/>
    <w:rsid w:val="1D2251D7"/>
    <w:rsid w:val="1D481109"/>
    <w:rsid w:val="1D5361AD"/>
    <w:rsid w:val="1DAA4ED3"/>
    <w:rsid w:val="1DE226F6"/>
    <w:rsid w:val="1DFE3406"/>
    <w:rsid w:val="1E756385"/>
    <w:rsid w:val="1E8B1FEC"/>
    <w:rsid w:val="1EB11921"/>
    <w:rsid w:val="1EB91754"/>
    <w:rsid w:val="1EC4217D"/>
    <w:rsid w:val="1EF9C54E"/>
    <w:rsid w:val="1F4B0664"/>
    <w:rsid w:val="1F592C68"/>
    <w:rsid w:val="1F642775"/>
    <w:rsid w:val="1F668E0E"/>
    <w:rsid w:val="1F6DF702"/>
    <w:rsid w:val="1F7C289F"/>
    <w:rsid w:val="1F7FE508"/>
    <w:rsid w:val="1F8B2AE2"/>
    <w:rsid w:val="1F916AB3"/>
    <w:rsid w:val="1F953961"/>
    <w:rsid w:val="1FB1659D"/>
    <w:rsid w:val="1FC55C88"/>
    <w:rsid w:val="1FEF209F"/>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C6774"/>
    <w:rsid w:val="2FCF30BB"/>
    <w:rsid w:val="2FD52BB2"/>
    <w:rsid w:val="2FDF5CAC"/>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3ED0545"/>
    <w:rsid w:val="34071D68"/>
    <w:rsid w:val="343B70D4"/>
    <w:rsid w:val="34693182"/>
    <w:rsid w:val="346A2930"/>
    <w:rsid w:val="348D4D8F"/>
    <w:rsid w:val="34B61205"/>
    <w:rsid w:val="34CC64BD"/>
    <w:rsid w:val="34D00377"/>
    <w:rsid w:val="34E92F3F"/>
    <w:rsid w:val="34FA1E45"/>
    <w:rsid w:val="351F5D4F"/>
    <w:rsid w:val="35233181"/>
    <w:rsid w:val="357E504E"/>
    <w:rsid w:val="357E5998"/>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8F705B"/>
    <w:rsid w:val="37AB4837"/>
    <w:rsid w:val="37BD621F"/>
    <w:rsid w:val="37C16C4A"/>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FC6AD2"/>
    <w:rsid w:val="3A040F3C"/>
    <w:rsid w:val="3A192D6D"/>
    <w:rsid w:val="3A1A63DF"/>
    <w:rsid w:val="3A3B7A62"/>
    <w:rsid w:val="3A5610EA"/>
    <w:rsid w:val="3A5B32CD"/>
    <w:rsid w:val="3A7F3AB6"/>
    <w:rsid w:val="3A8B75BA"/>
    <w:rsid w:val="3A900B55"/>
    <w:rsid w:val="3AB74E7B"/>
    <w:rsid w:val="3AD44EE6"/>
    <w:rsid w:val="3AD7E7A5"/>
    <w:rsid w:val="3ADB3D07"/>
    <w:rsid w:val="3AEF9B9E"/>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AFFAC1"/>
    <w:rsid w:val="3DB65977"/>
    <w:rsid w:val="3DF32DF4"/>
    <w:rsid w:val="3E310271"/>
    <w:rsid w:val="3E636CAD"/>
    <w:rsid w:val="3E6E11AD"/>
    <w:rsid w:val="3E7E7642"/>
    <w:rsid w:val="3E807EF2"/>
    <w:rsid w:val="3E9950E6"/>
    <w:rsid w:val="3E9FDC00"/>
    <w:rsid w:val="3EBF7396"/>
    <w:rsid w:val="3ECA0FAD"/>
    <w:rsid w:val="3ED54B2F"/>
    <w:rsid w:val="3EEFC2EB"/>
    <w:rsid w:val="3EF545D4"/>
    <w:rsid w:val="3F2D1834"/>
    <w:rsid w:val="3F3101B5"/>
    <w:rsid w:val="3F732378"/>
    <w:rsid w:val="3F7B2D8C"/>
    <w:rsid w:val="3F7EFFF7"/>
    <w:rsid w:val="3F87756C"/>
    <w:rsid w:val="3FB64E89"/>
    <w:rsid w:val="3FBB10F7"/>
    <w:rsid w:val="3FBFB2C1"/>
    <w:rsid w:val="3FC62645"/>
    <w:rsid w:val="3FC767D9"/>
    <w:rsid w:val="3FCB7D3B"/>
    <w:rsid w:val="3FD87226"/>
    <w:rsid w:val="3FDA6FFE"/>
    <w:rsid w:val="3FE26C71"/>
    <w:rsid w:val="3FF71C39"/>
    <w:rsid w:val="3FF72DB8"/>
    <w:rsid w:val="3FF736A7"/>
    <w:rsid w:val="3FFBD45F"/>
    <w:rsid w:val="3FFF5F02"/>
    <w:rsid w:val="3FFF81DD"/>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A4706"/>
    <w:rsid w:val="46DC584E"/>
    <w:rsid w:val="46F31C44"/>
    <w:rsid w:val="46FA3A85"/>
    <w:rsid w:val="471D28A5"/>
    <w:rsid w:val="47541888"/>
    <w:rsid w:val="475573AE"/>
    <w:rsid w:val="475F2220"/>
    <w:rsid w:val="475F6B28"/>
    <w:rsid w:val="47AC5D2C"/>
    <w:rsid w:val="47B37EF8"/>
    <w:rsid w:val="47E81FD1"/>
    <w:rsid w:val="47FD5CB7"/>
    <w:rsid w:val="47FFF59F"/>
    <w:rsid w:val="48210086"/>
    <w:rsid w:val="48353277"/>
    <w:rsid w:val="48353A66"/>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C186974"/>
    <w:rsid w:val="4C293FCF"/>
    <w:rsid w:val="4C602076"/>
    <w:rsid w:val="4C7D6CC5"/>
    <w:rsid w:val="4C9A1035"/>
    <w:rsid w:val="4C9E5360"/>
    <w:rsid w:val="4CA42A33"/>
    <w:rsid w:val="4CC00BCE"/>
    <w:rsid w:val="4CC65240"/>
    <w:rsid w:val="4CCC5FA3"/>
    <w:rsid w:val="4CDA3DEF"/>
    <w:rsid w:val="4CEF4CA8"/>
    <w:rsid w:val="4CFF585E"/>
    <w:rsid w:val="4D3C100D"/>
    <w:rsid w:val="4D56487E"/>
    <w:rsid w:val="4D721995"/>
    <w:rsid w:val="4D8E784E"/>
    <w:rsid w:val="4D94711C"/>
    <w:rsid w:val="4DC572DA"/>
    <w:rsid w:val="4DC808DA"/>
    <w:rsid w:val="4DF711BF"/>
    <w:rsid w:val="4E3D0C3F"/>
    <w:rsid w:val="4E55DC1B"/>
    <w:rsid w:val="4E7416CB"/>
    <w:rsid w:val="4E7A4E88"/>
    <w:rsid w:val="4E7F5F2E"/>
    <w:rsid w:val="4EBD5F65"/>
    <w:rsid w:val="4EBE56A0"/>
    <w:rsid w:val="4EC30082"/>
    <w:rsid w:val="4ED14027"/>
    <w:rsid w:val="4EF609BE"/>
    <w:rsid w:val="4EFB766D"/>
    <w:rsid w:val="4F2790DF"/>
    <w:rsid w:val="4F28431D"/>
    <w:rsid w:val="4F4421E2"/>
    <w:rsid w:val="4F451EFA"/>
    <w:rsid w:val="4F620CCD"/>
    <w:rsid w:val="4F660E4F"/>
    <w:rsid w:val="4F786EFC"/>
    <w:rsid w:val="4F7F35ED"/>
    <w:rsid w:val="4F97F24A"/>
    <w:rsid w:val="4F9E30E2"/>
    <w:rsid w:val="4FC81AB6"/>
    <w:rsid w:val="4FC955C3"/>
    <w:rsid w:val="4FC955E3"/>
    <w:rsid w:val="4FD71F3E"/>
    <w:rsid w:val="4FDF6FF2"/>
    <w:rsid w:val="4FE55A96"/>
    <w:rsid w:val="4FE79ABF"/>
    <w:rsid w:val="4FE81398"/>
    <w:rsid w:val="4FF55DC3"/>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21EFBAC"/>
    <w:rsid w:val="52297EF2"/>
    <w:rsid w:val="5249383B"/>
    <w:rsid w:val="5273380C"/>
    <w:rsid w:val="52CB49C9"/>
    <w:rsid w:val="52E63682"/>
    <w:rsid w:val="52EF40ED"/>
    <w:rsid w:val="530C34C1"/>
    <w:rsid w:val="533573F7"/>
    <w:rsid w:val="534222E1"/>
    <w:rsid w:val="53567573"/>
    <w:rsid w:val="536E11E4"/>
    <w:rsid w:val="53A13367"/>
    <w:rsid w:val="53B222F9"/>
    <w:rsid w:val="53CB2ED2"/>
    <w:rsid w:val="53D97C99"/>
    <w:rsid w:val="53DF552A"/>
    <w:rsid w:val="5417013E"/>
    <w:rsid w:val="5435497A"/>
    <w:rsid w:val="54492049"/>
    <w:rsid w:val="546F2C29"/>
    <w:rsid w:val="54B01375"/>
    <w:rsid w:val="54BEACFB"/>
    <w:rsid w:val="54ED6937"/>
    <w:rsid w:val="54FE4BE1"/>
    <w:rsid w:val="550565D4"/>
    <w:rsid w:val="55115317"/>
    <w:rsid w:val="553964A2"/>
    <w:rsid w:val="555250C2"/>
    <w:rsid w:val="555718A0"/>
    <w:rsid w:val="555E00A0"/>
    <w:rsid w:val="558346D3"/>
    <w:rsid w:val="559317C9"/>
    <w:rsid w:val="55AB3BAD"/>
    <w:rsid w:val="55D7B4A1"/>
    <w:rsid w:val="55D8633C"/>
    <w:rsid w:val="55E40DAC"/>
    <w:rsid w:val="55F253AA"/>
    <w:rsid w:val="55F63222"/>
    <w:rsid w:val="55F84CE8"/>
    <w:rsid w:val="55FB8DBC"/>
    <w:rsid w:val="55FEBC10"/>
    <w:rsid w:val="56384F6E"/>
    <w:rsid w:val="563A2710"/>
    <w:rsid w:val="564E4841"/>
    <w:rsid w:val="56AF0889"/>
    <w:rsid w:val="56BA1E1F"/>
    <w:rsid w:val="56DA179D"/>
    <w:rsid w:val="56F51D94"/>
    <w:rsid w:val="57014E5D"/>
    <w:rsid w:val="570B1D0C"/>
    <w:rsid w:val="57542D95"/>
    <w:rsid w:val="575541D7"/>
    <w:rsid w:val="575E2DB7"/>
    <w:rsid w:val="57883D23"/>
    <w:rsid w:val="5799F0CD"/>
    <w:rsid w:val="579F3F38"/>
    <w:rsid w:val="57BA001E"/>
    <w:rsid w:val="57F22D43"/>
    <w:rsid w:val="57F74724"/>
    <w:rsid w:val="588418A2"/>
    <w:rsid w:val="588E6508"/>
    <w:rsid w:val="58E42D1D"/>
    <w:rsid w:val="59114DD8"/>
    <w:rsid w:val="592A069B"/>
    <w:rsid w:val="594421BB"/>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9031F"/>
    <w:rsid w:val="5A7E085F"/>
    <w:rsid w:val="5AA862C2"/>
    <w:rsid w:val="5AE10BA2"/>
    <w:rsid w:val="5B192DE9"/>
    <w:rsid w:val="5B27113D"/>
    <w:rsid w:val="5B579E81"/>
    <w:rsid w:val="5B5D7E1A"/>
    <w:rsid w:val="5B922491"/>
    <w:rsid w:val="5B922B0E"/>
    <w:rsid w:val="5BBAF074"/>
    <w:rsid w:val="5BC12FED"/>
    <w:rsid w:val="5BC9BE4D"/>
    <w:rsid w:val="5BD67B62"/>
    <w:rsid w:val="5BDB844D"/>
    <w:rsid w:val="5BED4BFC"/>
    <w:rsid w:val="5BF25889"/>
    <w:rsid w:val="5BFD30FD"/>
    <w:rsid w:val="5BFFEE43"/>
    <w:rsid w:val="5C0870DF"/>
    <w:rsid w:val="5C1EF3AF"/>
    <w:rsid w:val="5C252EE1"/>
    <w:rsid w:val="5C793EFB"/>
    <w:rsid w:val="5CED210B"/>
    <w:rsid w:val="5CF527A3"/>
    <w:rsid w:val="5CF9A4EF"/>
    <w:rsid w:val="5D1A7137"/>
    <w:rsid w:val="5D4F4CD8"/>
    <w:rsid w:val="5D5977A1"/>
    <w:rsid w:val="5D6F0D72"/>
    <w:rsid w:val="5D7F697E"/>
    <w:rsid w:val="5DE86A07"/>
    <w:rsid w:val="5E04700C"/>
    <w:rsid w:val="5E0648A7"/>
    <w:rsid w:val="5E09107B"/>
    <w:rsid w:val="5E0D0017"/>
    <w:rsid w:val="5E1F0D94"/>
    <w:rsid w:val="5E394EDC"/>
    <w:rsid w:val="5E453881"/>
    <w:rsid w:val="5E505345"/>
    <w:rsid w:val="5E663E7B"/>
    <w:rsid w:val="5E6A5D46"/>
    <w:rsid w:val="5E7F2E0C"/>
    <w:rsid w:val="5E852A2B"/>
    <w:rsid w:val="5E8E131D"/>
    <w:rsid w:val="5E987B1D"/>
    <w:rsid w:val="5EAB603E"/>
    <w:rsid w:val="5EB010E6"/>
    <w:rsid w:val="5EBEF5C8"/>
    <w:rsid w:val="5EC7191B"/>
    <w:rsid w:val="5ECF10BB"/>
    <w:rsid w:val="5ECF1B47"/>
    <w:rsid w:val="5EDF286E"/>
    <w:rsid w:val="5F0E45BB"/>
    <w:rsid w:val="5F15112E"/>
    <w:rsid w:val="5F271A1F"/>
    <w:rsid w:val="5F376CB1"/>
    <w:rsid w:val="5F3C2ED6"/>
    <w:rsid w:val="5F42EA54"/>
    <w:rsid w:val="5F4E479B"/>
    <w:rsid w:val="5F697EE8"/>
    <w:rsid w:val="5F7059D3"/>
    <w:rsid w:val="5F7FCE7D"/>
    <w:rsid w:val="5F7FEE71"/>
    <w:rsid w:val="5F9F9504"/>
    <w:rsid w:val="5FAA5CF4"/>
    <w:rsid w:val="5FBBDFFB"/>
    <w:rsid w:val="5FDB1D9D"/>
    <w:rsid w:val="5FDC329F"/>
    <w:rsid w:val="5FE01AB3"/>
    <w:rsid w:val="5FEA90A8"/>
    <w:rsid w:val="5FF432C2"/>
    <w:rsid w:val="5FF552A2"/>
    <w:rsid w:val="5FF7CE4D"/>
    <w:rsid w:val="5FF7E204"/>
    <w:rsid w:val="5FF7E51D"/>
    <w:rsid w:val="5FFB3B6D"/>
    <w:rsid w:val="5FFCB8C1"/>
    <w:rsid w:val="5FFD53A6"/>
    <w:rsid w:val="5FFE6C12"/>
    <w:rsid w:val="5FFEA0C9"/>
    <w:rsid w:val="5FFEED4F"/>
    <w:rsid w:val="5FFF1780"/>
    <w:rsid w:val="600B6B75"/>
    <w:rsid w:val="60132DE4"/>
    <w:rsid w:val="60326D30"/>
    <w:rsid w:val="603F267B"/>
    <w:rsid w:val="604B7099"/>
    <w:rsid w:val="606B6E69"/>
    <w:rsid w:val="60980E01"/>
    <w:rsid w:val="60AA0313"/>
    <w:rsid w:val="60C9490B"/>
    <w:rsid w:val="60D42D7C"/>
    <w:rsid w:val="60D80EDF"/>
    <w:rsid w:val="60DB1C4C"/>
    <w:rsid w:val="61573869"/>
    <w:rsid w:val="61596A8D"/>
    <w:rsid w:val="616563B2"/>
    <w:rsid w:val="616B3B9D"/>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8A0DC3"/>
    <w:rsid w:val="62A465C7"/>
    <w:rsid w:val="62D1082D"/>
    <w:rsid w:val="62D64101"/>
    <w:rsid w:val="62DC3E7F"/>
    <w:rsid w:val="62DC55C0"/>
    <w:rsid w:val="62F84AC4"/>
    <w:rsid w:val="62FC72F4"/>
    <w:rsid w:val="630670EC"/>
    <w:rsid w:val="63136B1F"/>
    <w:rsid w:val="631B25A8"/>
    <w:rsid w:val="632F69CC"/>
    <w:rsid w:val="63336829"/>
    <w:rsid w:val="635D7461"/>
    <w:rsid w:val="636F40F1"/>
    <w:rsid w:val="63795CCD"/>
    <w:rsid w:val="63841B73"/>
    <w:rsid w:val="639F1C49"/>
    <w:rsid w:val="63C30398"/>
    <w:rsid w:val="63D757F1"/>
    <w:rsid w:val="63DD1C69"/>
    <w:rsid w:val="63E40FB0"/>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62E5667"/>
    <w:rsid w:val="663E0BF4"/>
    <w:rsid w:val="664E3EC5"/>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F6F19D"/>
    <w:rsid w:val="67FC3283"/>
    <w:rsid w:val="67FD652A"/>
    <w:rsid w:val="67FFEC90"/>
    <w:rsid w:val="68112ADA"/>
    <w:rsid w:val="685AC63C"/>
    <w:rsid w:val="68616285"/>
    <w:rsid w:val="68812DA4"/>
    <w:rsid w:val="68914293"/>
    <w:rsid w:val="689E4967"/>
    <w:rsid w:val="68AD0CCF"/>
    <w:rsid w:val="68CDF215"/>
    <w:rsid w:val="68D86FEB"/>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A24C6"/>
    <w:rsid w:val="6AE24654"/>
    <w:rsid w:val="6AFA607C"/>
    <w:rsid w:val="6B2F0F2B"/>
    <w:rsid w:val="6B347553"/>
    <w:rsid w:val="6B6A02C3"/>
    <w:rsid w:val="6B7068D7"/>
    <w:rsid w:val="6B77103C"/>
    <w:rsid w:val="6B7E6B96"/>
    <w:rsid w:val="6B843095"/>
    <w:rsid w:val="6B8FA36D"/>
    <w:rsid w:val="6BBE919F"/>
    <w:rsid w:val="6BE85984"/>
    <w:rsid w:val="6BEC17E0"/>
    <w:rsid w:val="6BF7DA80"/>
    <w:rsid w:val="6BFA7971"/>
    <w:rsid w:val="6C032026"/>
    <w:rsid w:val="6C037118"/>
    <w:rsid w:val="6C57857B"/>
    <w:rsid w:val="6C7563DF"/>
    <w:rsid w:val="6C793548"/>
    <w:rsid w:val="6CA1DA52"/>
    <w:rsid w:val="6D1A54F0"/>
    <w:rsid w:val="6D1F7E3A"/>
    <w:rsid w:val="6D374F86"/>
    <w:rsid w:val="6D7F9542"/>
    <w:rsid w:val="6D8053C3"/>
    <w:rsid w:val="6D8F45DB"/>
    <w:rsid w:val="6DA265FA"/>
    <w:rsid w:val="6DB34CEB"/>
    <w:rsid w:val="6DB81974"/>
    <w:rsid w:val="6DBDBABD"/>
    <w:rsid w:val="6DD733CE"/>
    <w:rsid w:val="6DDFCBBA"/>
    <w:rsid w:val="6DE30DE0"/>
    <w:rsid w:val="6DE77FDB"/>
    <w:rsid w:val="6DE9321C"/>
    <w:rsid w:val="6DEF0D1B"/>
    <w:rsid w:val="6DFBF63B"/>
    <w:rsid w:val="6DFE5138"/>
    <w:rsid w:val="6E0650EF"/>
    <w:rsid w:val="6E0C43BB"/>
    <w:rsid w:val="6E1732CA"/>
    <w:rsid w:val="6E3904DB"/>
    <w:rsid w:val="6E3A5F81"/>
    <w:rsid w:val="6E4C47B8"/>
    <w:rsid w:val="6E564512"/>
    <w:rsid w:val="6E6A4988"/>
    <w:rsid w:val="6E7C568B"/>
    <w:rsid w:val="6E9F9ADB"/>
    <w:rsid w:val="6EA14B04"/>
    <w:rsid w:val="6EAD14EE"/>
    <w:rsid w:val="6EBC4FFE"/>
    <w:rsid w:val="6EBF36B1"/>
    <w:rsid w:val="6EBF51DC"/>
    <w:rsid w:val="6EC35CE7"/>
    <w:rsid w:val="6EE8132F"/>
    <w:rsid w:val="6EF3EF09"/>
    <w:rsid w:val="6F3A4CB1"/>
    <w:rsid w:val="6F656188"/>
    <w:rsid w:val="6F78732B"/>
    <w:rsid w:val="6F797765"/>
    <w:rsid w:val="6F7C8E16"/>
    <w:rsid w:val="6FCD0DC3"/>
    <w:rsid w:val="6FD985FF"/>
    <w:rsid w:val="6FEEBE7B"/>
    <w:rsid w:val="6FF13E8D"/>
    <w:rsid w:val="6FF6057A"/>
    <w:rsid w:val="6FF60D7F"/>
    <w:rsid w:val="6FF9CD3E"/>
    <w:rsid w:val="6FFE2F44"/>
    <w:rsid w:val="6FFF1246"/>
    <w:rsid w:val="6FFF20F7"/>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529E2C"/>
    <w:rsid w:val="71833BD0"/>
    <w:rsid w:val="719A0BB7"/>
    <w:rsid w:val="71A845E4"/>
    <w:rsid w:val="71BE95FE"/>
    <w:rsid w:val="71C33C4E"/>
    <w:rsid w:val="72005AE0"/>
    <w:rsid w:val="72124F97"/>
    <w:rsid w:val="72374A3F"/>
    <w:rsid w:val="72531906"/>
    <w:rsid w:val="726522EC"/>
    <w:rsid w:val="726619E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E5EBB"/>
    <w:rsid w:val="738113A0"/>
    <w:rsid w:val="738549F4"/>
    <w:rsid w:val="73A143B8"/>
    <w:rsid w:val="73A46746"/>
    <w:rsid w:val="73B01E4B"/>
    <w:rsid w:val="73B02B11"/>
    <w:rsid w:val="73B30C45"/>
    <w:rsid w:val="73CB68E0"/>
    <w:rsid w:val="73CBD7D6"/>
    <w:rsid w:val="73DBA7CA"/>
    <w:rsid w:val="73DDB053"/>
    <w:rsid w:val="73DF7F93"/>
    <w:rsid w:val="73E47231"/>
    <w:rsid w:val="74325266"/>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DFD2B6"/>
    <w:rsid w:val="75E914E0"/>
    <w:rsid w:val="75F91781"/>
    <w:rsid w:val="75FD1071"/>
    <w:rsid w:val="75FD8C3E"/>
    <w:rsid w:val="75FF1DDF"/>
    <w:rsid w:val="75FF4D97"/>
    <w:rsid w:val="760B1A49"/>
    <w:rsid w:val="7629B897"/>
    <w:rsid w:val="76495766"/>
    <w:rsid w:val="765406AD"/>
    <w:rsid w:val="766964A3"/>
    <w:rsid w:val="76A20C6A"/>
    <w:rsid w:val="76AE068B"/>
    <w:rsid w:val="76B30508"/>
    <w:rsid w:val="76C010E3"/>
    <w:rsid w:val="76DDA6E0"/>
    <w:rsid w:val="76EF1C31"/>
    <w:rsid w:val="76FF0475"/>
    <w:rsid w:val="77031578"/>
    <w:rsid w:val="77107706"/>
    <w:rsid w:val="77407E24"/>
    <w:rsid w:val="77477B66"/>
    <w:rsid w:val="77550B7C"/>
    <w:rsid w:val="775A6197"/>
    <w:rsid w:val="777789B3"/>
    <w:rsid w:val="77A646EE"/>
    <w:rsid w:val="77BAB806"/>
    <w:rsid w:val="77BDBAF2"/>
    <w:rsid w:val="77C81353"/>
    <w:rsid w:val="77DD9A0A"/>
    <w:rsid w:val="77DF1E38"/>
    <w:rsid w:val="77DF6393"/>
    <w:rsid w:val="77E45CCE"/>
    <w:rsid w:val="77EBE7E4"/>
    <w:rsid w:val="77EC519A"/>
    <w:rsid w:val="77EDF40F"/>
    <w:rsid w:val="77EF3313"/>
    <w:rsid w:val="77F04406"/>
    <w:rsid w:val="77F7752A"/>
    <w:rsid w:val="77FA66B5"/>
    <w:rsid w:val="77FE1662"/>
    <w:rsid w:val="78030C0D"/>
    <w:rsid w:val="780D320A"/>
    <w:rsid w:val="78153022"/>
    <w:rsid w:val="7817176B"/>
    <w:rsid w:val="782642CC"/>
    <w:rsid w:val="782E09E2"/>
    <w:rsid w:val="787648A7"/>
    <w:rsid w:val="78877F1D"/>
    <w:rsid w:val="788F25FD"/>
    <w:rsid w:val="78AA0FB2"/>
    <w:rsid w:val="78B2790D"/>
    <w:rsid w:val="78CE5280"/>
    <w:rsid w:val="78D67AA0"/>
    <w:rsid w:val="78E977D3"/>
    <w:rsid w:val="78FAFA59"/>
    <w:rsid w:val="7912390B"/>
    <w:rsid w:val="79180D6A"/>
    <w:rsid w:val="79232399"/>
    <w:rsid w:val="792D7313"/>
    <w:rsid w:val="79385B87"/>
    <w:rsid w:val="79406591"/>
    <w:rsid w:val="79415644"/>
    <w:rsid w:val="794A3243"/>
    <w:rsid w:val="795D2FDA"/>
    <w:rsid w:val="796564A1"/>
    <w:rsid w:val="797057FE"/>
    <w:rsid w:val="797AA848"/>
    <w:rsid w:val="79990BA0"/>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D92C"/>
    <w:rsid w:val="7A773114"/>
    <w:rsid w:val="7A8B6F6D"/>
    <w:rsid w:val="7ABBE534"/>
    <w:rsid w:val="7ADF73FA"/>
    <w:rsid w:val="7AF551EA"/>
    <w:rsid w:val="7AF7ACD7"/>
    <w:rsid w:val="7AFD098B"/>
    <w:rsid w:val="7AFF414C"/>
    <w:rsid w:val="7B1A0118"/>
    <w:rsid w:val="7B510186"/>
    <w:rsid w:val="7B640A94"/>
    <w:rsid w:val="7B6A0FC6"/>
    <w:rsid w:val="7B7712BA"/>
    <w:rsid w:val="7B8D4BA2"/>
    <w:rsid w:val="7BBF7D2D"/>
    <w:rsid w:val="7BBFBDD9"/>
    <w:rsid w:val="7BDF0F0E"/>
    <w:rsid w:val="7BE73057"/>
    <w:rsid w:val="7BF51326"/>
    <w:rsid w:val="7BFFBA14"/>
    <w:rsid w:val="7BFFFDF0"/>
    <w:rsid w:val="7C042B76"/>
    <w:rsid w:val="7C0DC28B"/>
    <w:rsid w:val="7C63789C"/>
    <w:rsid w:val="7C72BC48"/>
    <w:rsid w:val="7C961A20"/>
    <w:rsid w:val="7CBB19BD"/>
    <w:rsid w:val="7CC11C19"/>
    <w:rsid w:val="7CD03A2F"/>
    <w:rsid w:val="7CD673E6"/>
    <w:rsid w:val="7CDF7A3C"/>
    <w:rsid w:val="7CF04396"/>
    <w:rsid w:val="7CF401B4"/>
    <w:rsid w:val="7CF86A7C"/>
    <w:rsid w:val="7CFE9A73"/>
    <w:rsid w:val="7CFF6711"/>
    <w:rsid w:val="7CFFBBF6"/>
    <w:rsid w:val="7D0B72D7"/>
    <w:rsid w:val="7D27D221"/>
    <w:rsid w:val="7D3924E1"/>
    <w:rsid w:val="7D3E395D"/>
    <w:rsid w:val="7D6B282B"/>
    <w:rsid w:val="7D72477A"/>
    <w:rsid w:val="7D913F95"/>
    <w:rsid w:val="7D9B55EE"/>
    <w:rsid w:val="7DAA5F1C"/>
    <w:rsid w:val="7DBE6850"/>
    <w:rsid w:val="7DBF0BFB"/>
    <w:rsid w:val="7DBF4391"/>
    <w:rsid w:val="7DDF1E58"/>
    <w:rsid w:val="7DDF6B79"/>
    <w:rsid w:val="7DDFD140"/>
    <w:rsid w:val="7DED7670"/>
    <w:rsid w:val="7DEF74B9"/>
    <w:rsid w:val="7DF63207"/>
    <w:rsid w:val="7DF8A239"/>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976E76"/>
    <w:rsid w:val="7E9B3C8F"/>
    <w:rsid w:val="7E9FF47D"/>
    <w:rsid w:val="7EA63C5A"/>
    <w:rsid w:val="7EA6506C"/>
    <w:rsid w:val="7EBF9F9E"/>
    <w:rsid w:val="7EC76812"/>
    <w:rsid w:val="7ECBF843"/>
    <w:rsid w:val="7ED345C6"/>
    <w:rsid w:val="7EDF33AF"/>
    <w:rsid w:val="7EDF9C1A"/>
    <w:rsid w:val="7EE07FBC"/>
    <w:rsid w:val="7EF6BA1B"/>
    <w:rsid w:val="7EFCE2EF"/>
    <w:rsid w:val="7EFF7C28"/>
    <w:rsid w:val="7EFFB51D"/>
    <w:rsid w:val="7EFFF8E0"/>
    <w:rsid w:val="7F3344D2"/>
    <w:rsid w:val="7F374BD2"/>
    <w:rsid w:val="7F3EF109"/>
    <w:rsid w:val="7F3FA9E6"/>
    <w:rsid w:val="7F412798"/>
    <w:rsid w:val="7F56C5CB"/>
    <w:rsid w:val="7F5B0F60"/>
    <w:rsid w:val="7F613DD0"/>
    <w:rsid w:val="7F642662"/>
    <w:rsid w:val="7F65EC78"/>
    <w:rsid w:val="7F668CE0"/>
    <w:rsid w:val="7F6F2316"/>
    <w:rsid w:val="7F6FDE85"/>
    <w:rsid w:val="7F7BA113"/>
    <w:rsid w:val="7F7CD479"/>
    <w:rsid w:val="7F7F7E1A"/>
    <w:rsid w:val="7F7FD183"/>
    <w:rsid w:val="7F8E7414"/>
    <w:rsid w:val="7F934C4E"/>
    <w:rsid w:val="7F9FBAF7"/>
    <w:rsid w:val="7FA78FE5"/>
    <w:rsid w:val="7FAB0DC6"/>
    <w:rsid w:val="7FB33C48"/>
    <w:rsid w:val="7FB59996"/>
    <w:rsid w:val="7FBD886B"/>
    <w:rsid w:val="7FC42C6F"/>
    <w:rsid w:val="7FC70D26"/>
    <w:rsid w:val="7FCD7385"/>
    <w:rsid w:val="7FCE0A7B"/>
    <w:rsid w:val="7FCF7BFF"/>
    <w:rsid w:val="7FD10921"/>
    <w:rsid w:val="7FD797CC"/>
    <w:rsid w:val="7FDB73AA"/>
    <w:rsid w:val="7FDFA58C"/>
    <w:rsid w:val="7FDFC67D"/>
    <w:rsid w:val="7FE26D6E"/>
    <w:rsid w:val="7FE4A1E4"/>
    <w:rsid w:val="7FE9BE57"/>
    <w:rsid w:val="7FEB5C47"/>
    <w:rsid w:val="7FEF8190"/>
    <w:rsid w:val="7FF2047A"/>
    <w:rsid w:val="7FF3521E"/>
    <w:rsid w:val="7FF3C86D"/>
    <w:rsid w:val="7FF74440"/>
    <w:rsid w:val="7FF77983"/>
    <w:rsid w:val="7FFA3EF9"/>
    <w:rsid w:val="7FFAEA40"/>
    <w:rsid w:val="7FFD5B09"/>
    <w:rsid w:val="7FFD7C09"/>
    <w:rsid w:val="7FFDB997"/>
    <w:rsid w:val="7FFDBA6F"/>
    <w:rsid w:val="7FFEC749"/>
    <w:rsid w:val="7FFF1FF6"/>
    <w:rsid w:val="7FFF5500"/>
    <w:rsid w:val="7FFF78DC"/>
    <w:rsid w:val="7FFF7DC9"/>
    <w:rsid w:val="7FFFAA6A"/>
    <w:rsid w:val="7FFFF65E"/>
    <w:rsid w:val="8A7E7EC2"/>
    <w:rsid w:val="8F3F1F3D"/>
    <w:rsid w:val="8FF68884"/>
    <w:rsid w:val="99DF7708"/>
    <w:rsid w:val="9AF95D50"/>
    <w:rsid w:val="9BEFC015"/>
    <w:rsid w:val="9CBFEA14"/>
    <w:rsid w:val="9D72D5BA"/>
    <w:rsid w:val="9DEF280E"/>
    <w:rsid w:val="9DFEEF3A"/>
    <w:rsid w:val="9E3955F3"/>
    <w:rsid w:val="9E6B7339"/>
    <w:rsid w:val="9EF670B2"/>
    <w:rsid w:val="9EFECCC2"/>
    <w:rsid w:val="9EFFE6E8"/>
    <w:rsid w:val="9FAF4F67"/>
    <w:rsid w:val="9FFF52DD"/>
    <w:rsid w:val="A1F34BD9"/>
    <w:rsid w:val="A3BEC521"/>
    <w:rsid w:val="A473835B"/>
    <w:rsid w:val="A5F1E8E7"/>
    <w:rsid w:val="A6FC09BA"/>
    <w:rsid w:val="A7E4BCA3"/>
    <w:rsid w:val="AAFC54E8"/>
    <w:rsid w:val="ABEF319C"/>
    <w:rsid w:val="ACFFC1AE"/>
    <w:rsid w:val="AEF76386"/>
    <w:rsid w:val="AEFF1721"/>
    <w:rsid w:val="AEFFE6A1"/>
    <w:rsid w:val="AF6FD3DE"/>
    <w:rsid w:val="AF7F57D0"/>
    <w:rsid w:val="AFAF0645"/>
    <w:rsid w:val="AFBDBDD7"/>
    <w:rsid w:val="AFDE11E1"/>
    <w:rsid w:val="AFFA4E97"/>
    <w:rsid w:val="AFFEFBE6"/>
    <w:rsid w:val="AFFFDCA8"/>
    <w:rsid w:val="B0BC83CE"/>
    <w:rsid w:val="B3B959F4"/>
    <w:rsid w:val="B5D796BD"/>
    <w:rsid w:val="B5FF93D4"/>
    <w:rsid w:val="B6DFFB4B"/>
    <w:rsid w:val="B6FB0EFC"/>
    <w:rsid w:val="B7278174"/>
    <w:rsid w:val="B76F7F9D"/>
    <w:rsid w:val="B7DF6920"/>
    <w:rsid w:val="B7EEFB99"/>
    <w:rsid w:val="B7EFBEC5"/>
    <w:rsid w:val="B7F9DD92"/>
    <w:rsid w:val="BA7B23C6"/>
    <w:rsid w:val="BAFD0431"/>
    <w:rsid w:val="BB7E507B"/>
    <w:rsid w:val="BBBD0F18"/>
    <w:rsid w:val="BBBD5052"/>
    <w:rsid w:val="BBCE6A08"/>
    <w:rsid w:val="BBEBA678"/>
    <w:rsid w:val="BC7B0866"/>
    <w:rsid w:val="BCBAA610"/>
    <w:rsid w:val="BCCFB9EB"/>
    <w:rsid w:val="BD159B47"/>
    <w:rsid w:val="BD5F9C39"/>
    <w:rsid w:val="BD9E6A5B"/>
    <w:rsid w:val="BDBF3C4C"/>
    <w:rsid w:val="BDDF1D90"/>
    <w:rsid w:val="BDFDABC8"/>
    <w:rsid w:val="BDFF569A"/>
    <w:rsid w:val="BDFF7D51"/>
    <w:rsid w:val="BE262179"/>
    <w:rsid w:val="BE332371"/>
    <w:rsid w:val="BE5B2936"/>
    <w:rsid w:val="BE679F46"/>
    <w:rsid w:val="BED7A7AE"/>
    <w:rsid w:val="BEEF4F54"/>
    <w:rsid w:val="BEFA91F8"/>
    <w:rsid w:val="BF5E30CB"/>
    <w:rsid w:val="BF69B727"/>
    <w:rsid w:val="BFAD0A5B"/>
    <w:rsid w:val="BFBFF975"/>
    <w:rsid w:val="BFDF4577"/>
    <w:rsid w:val="BFE0A2C8"/>
    <w:rsid w:val="BFF1AB59"/>
    <w:rsid w:val="BFF95C8C"/>
    <w:rsid w:val="BFFB5F1D"/>
    <w:rsid w:val="BFFF23D7"/>
    <w:rsid w:val="C3B70622"/>
    <w:rsid w:val="C4B7CC1C"/>
    <w:rsid w:val="C5177F48"/>
    <w:rsid w:val="C52D4053"/>
    <w:rsid w:val="C557193B"/>
    <w:rsid w:val="C6FF6AF0"/>
    <w:rsid w:val="C7E75DCE"/>
    <w:rsid w:val="C7F79355"/>
    <w:rsid w:val="C9FEBEBF"/>
    <w:rsid w:val="C9FFFC85"/>
    <w:rsid w:val="CBD3D240"/>
    <w:rsid w:val="CBDFDB75"/>
    <w:rsid w:val="CBEF6020"/>
    <w:rsid w:val="CBFF0587"/>
    <w:rsid w:val="CD1ED750"/>
    <w:rsid w:val="CEEFDDC6"/>
    <w:rsid w:val="CF9E6108"/>
    <w:rsid w:val="CFAE57BC"/>
    <w:rsid w:val="CFFADD31"/>
    <w:rsid w:val="D0F2B0C7"/>
    <w:rsid w:val="D13EFE29"/>
    <w:rsid w:val="D176162E"/>
    <w:rsid w:val="D27BA209"/>
    <w:rsid w:val="D2FBD6E4"/>
    <w:rsid w:val="D47FAF2C"/>
    <w:rsid w:val="D6A7B808"/>
    <w:rsid w:val="D6DFF190"/>
    <w:rsid w:val="D7CFD767"/>
    <w:rsid w:val="D7FC25F6"/>
    <w:rsid w:val="D8770DC2"/>
    <w:rsid w:val="D89DA7C4"/>
    <w:rsid w:val="D96F6EA3"/>
    <w:rsid w:val="DAAA1B64"/>
    <w:rsid w:val="DB7F0A3B"/>
    <w:rsid w:val="DBD754C0"/>
    <w:rsid w:val="DBDECA1E"/>
    <w:rsid w:val="DBEFC53B"/>
    <w:rsid w:val="DBF58F63"/>
    <w:rsid w:val="DBFC3819"/>
    <w:rsid w:val="DBFF13D9"/>
    <w:rsid w:val="DD87AC26"/>
    <w:rsid w:val="DDD7C64C"/>
    <w:rsid w:val="DDF9E743"/>
    <w:rsid w:val="DDFAF6CE"/>
    <w:rsid w:val="DE776E97"/>
    <w:rsid w:val="DECF2995"/>
    <w:rsid w:val="DED57C2F"/>
    <w:rsid w:val="DF3E572B"/>
    <w:rsid w:val="DF7EFC34"/>
    <w:rsid w:val="DF9F823D"/>
    <w:rsid w:val="DFBE840B"/>
    <w:rsid w:val="DFD6988B"/>
    <w:rsid w:val="DFDB1FE6"/>
    <w:rsid w:val="DFED894A"/>
    <w:rsid w:val="DFF31655"/>
    <w:rsid w:val="DFF33E34"/>
    <w:rsid w:val="DFFE22AA"/>
    <w:rsid w:val="DFFF2A30"/>
    <w:rsid w:val="DFFF84C9"/>
    <w:rsid w:val="E3933C23"/>
    <w:rsid w:val="E3B349C5"/>
    <w:rsid w:val="E4FEAD11"/>
    <w:rsid w:val="E5EF7DAE"/>
    <w:rsid w:val="E5FE16B2"/>
    <w:rsid w:val="E6A99FDA"/>
    <w:rsid w:val="E6BF6061"/>
    <w:rsid w:val="E6D79DB9"/>
    <w:rsid w:val="E6F7D7EF"/>
    <w:rsid w:val="E6FB339E"/>
    <w:rsid w:val="E77EA97D"/>
    <w:rsid w:val="E7BFA7C5"/>
    <w:rsid w:val="E7C345E7"/>
    <w:rsid w:val="E7DE2F6E"/>
    <w:rsid w:val="E7FE450A"/>
    <w:rsid w:val="E8BB4510"/>
    <w:rsid w:val="E96B3B4D"/>
    <w:rsid w:val="EA8F4B62"/>
    <w:rsid w:val="EAEFF623"/>
    <w:rsid w:val="EAFB1617"/>
    <w:rsid w:val="EAFB4255"/>
    <w:rsid w:val="EB3CE8B4"/>
    <w:rsid w:val="EBA70D36"/>
    <w:rsid w:val="EC193F3F"/>
    <w:rsid w:val="EC7B6969"/>
    <w:rsid w:val="ED7AE5C9"/>
    <w:rsid w:val="ED8B1048"/>
    <w:rsid w:val="EDBCA700"/>
    <w:rsid w:val="EDCF953F"/>
    <w:rsid w:val="EDEDCE19"/>
    <w:rsid w:val="EDEF653B"/>
    <w:rsid w:val="EE4F8CA7"/>
    <w:rsid w:val="EE7665A8"/>
    <w:rsid w:val="EEA5AFD2"/>
    <w:rsid w:val="EEBD427A"/>
    <w:rsid w:val="EEEEBC80"/>
    <w:rsid w:val="EF1E49F5"/>
    <w:rsid w:val="EF7370BD"/>
    <w:rsid w:val="EF7DB1B0"/>
    <w:rsid w:val="EF7EE24E"/>
    <w:rsid w:val="EF7F9619"/>
    <w:rsid w:val="EFD76993"/>
    <w:rsid w:val="EFF1C90F"/>
    <w:rsid w:val="EFF726FE"/>
    <w:rsid w:val="EFF7C5D5"/>
    <w:rsid w:val="EFFB5498"/>
    <w:rsid w:val="EFFC757B"/>
    <w:rsid w:val="EFFF0F2E"/>
    <w:rsid w:val="EFFFC3AF"/>
    <w:rsid w:val="F1670070"/>
    <w:rsid w:val="F1771572"/>
    <w:rsid w:val="F22F0E4B"/>
    <w:rsid w:val="F29ED2C8"/>
    <w:rsid w:val="F2F0090F"/>
    <w:rsid w:val="F2F5EB34"/>
    <w:rsid w:val="F2FEA681"/>
    <w:rsid w:val="F2FF5829"/>
    <w:rsid w:val="F35E39B9"/>
    <w:rsid w:val="F3BFD672"/>
    <w:rsid w:val="F3C7BE51"/>
    <w:rsid w:val="F3DB97E7"/>
    <w:rsid w:val="F3FBC58F"/>
    <w:rsid w:val="F49D257D"/>
    <w:rsid w:val="F4FF4D52"/>
    <w:rsid w:val="F5DF10E6"/>
    <w:rsid w:val="F5EF4CE2"/>
    <w:rsid w:val="F5F76D0E"/>
    <w:rsid w:val="F5FE5B48"/>
    <w:rsid w:val="F6F1A6B9"/>
    <w:rsid w:val="F6FE73CB"/>
    <w:rsid w:val="F732AC09"/>
    <w:rsid w:val="F7396B9E"/>
    <w:rsid w:val="F779A7F1"/>
    <w:rsid w:val="F7A34AFD"/>
    <w:rsid w:val="F7BEA3A8"/>
    <w:rsid w:val="F7D59AC5"/>
    <w:rsid w:val="F7D79EA9"/>
    <w:rsid w:val="F7DE316A"/>
    <w:rsid w:val="F7DF7768"/>
    <w:rsid w:val="F7DFAB18"/>
    <w:rsid w:val="F7DFD6F7"/>
    <w:rsid w:val="F7E7528D"/>
    <w:rsid w:val="F7E7E79E"/>
    <w:rsid w:val="F7EF9CC6"/>
    <w:rsid w:val="F7EFFDF5"/>
    <w:rsid w:val="F7FEC24A"/>
    <w:rsid w:val="F7FEFFFB"/>
    <w:rsid w:val="F83F357C"/>
    <w:rsid w:val="F8FEBBBF"/>
    <w:rsid w:val="F96B792C"/>
    <w:rsid w:val="F96FD6A8"/>
    <w:rsid w:val="F9C729BB"/>
    <w:rsid w:val="F9FEC6B5"/>
    <w:rsid w:val="FA1FE0CE"/>
    <w:rsid w:val="FA7DCAB7"/>
    <w:rsid w:val="FAE763BF"/>
    <w:rsid w:val="FB2FA4A8"/>
    <w:rsid w:val="FB3B684F"/>
    <w:rsid w:val="FB3ED808"/>
    <w:rsid w:val="FB5BD086"/>
    <w:rsid w:val="FB737563"/>
    <w:rsid w:val="FB7563FE"/>
    <w:rsid w:val="FB9E9514"/>
    <w:rsid w:val="FBAAC427"/>
    <w:rsid w:val="FBAF00D6"/>
    <w:rsid w:val="FBDBA6F9"/>
    <w:rsid w:val="FBDFA387"/>
    <w:rsid w:val="FBE71C25"/>
    <w:rsid w:val="FBF2FC9A"/>
    <w:rsid w:val="FBFA1A4A"/>
    <w:rsid w:val="FBFC0C31"/>
    <w:rsid w:val="FBFF19A4"/>
    <w:rsid w:val="FBFF4C7F"/>
    <w:rsid w:val="FBFFA817"/>
    <w:rsid w:val="FCE36C2F"/>
    <w:rsid w:val="FD175450"/>
    <w:rsid w:val="FD2FEE05"/>
    <w:rsid w:val="FD4F8490"/>
    <w:rsid w:val="FD7C472A"/>
    <w:rsid w:val="FD7D42ED"/>
    <w:rsid w:val="FD96F1F9"/>
    <w:rsid w:val="FDAEB769"/>
    <w:rsid w:val="FDBDCE54"/>
    <w:rsid w:val="FDCC5D92"/>
    <w:rsid w:val="FDDB0E04"/>
    <w:rsid w:val="FDDF5990"/>
    <w:rsid w:val="FDE36BE8"/>
    <w:rsid w:val="FDEDF181"/>
    <w:rsid w:val="FDF1C64A"/>
    <w:rsid w:val="FDF3B2B3"/>
    <w:rsid w:val="FDF79101"/>
    <w:rsid w:val="FDF7E316"/>
    <w:rsid w:val="FDF9C39F"/>
    <w:rsid w:val="FDFB05C8"/>
    <w:rsid w:val="FDFE1223"/>
    <w:rsid w:val="FDFEF644"/>
    <w:rsid w:val="FDFF3529"/>
    <w:rsid w:val="FDFFE92E"/>
    <w:rsid w:val="FE6FD691"/>
    <w:rsid w:val="FE83F7A8"/>
    <w:rsid w:val="FE9EB501"/>
    <w:rsid w:val="FEA350BD"/>
    <w:rsid w:val="FEAF0EC4"/>
    <w:rsid w:val="FEDEBB0D"/>
    <w:rsid w:val="FEEB7AF3"/>
    <w:rsid w:val="FEEE8048"/>
    <w:rsid w:val="FEF640DE"/>
    <w:rsid w:val="FEFAC1F4"/>
    <w:rsid w:val="FF3B3EAC"/>
    <w:rsid w:val="FF3F01F6"/>
    <w:rsid w:val="FF45046D"/>
    <w:rsid w:val="FF4917E2"/>
    <w:rsid w:val="FF5A93C2"/>
    <w:rsid w:val="FF5EDB19"/>
    <w:rsid w:val="FF662C8F"/>
    <w:rsid w:val="FF671EB3"/>
    <w:rsid w:val="FF6753AA"/>
    <w:rsid w:val="FF6E178B"/>
    <w:rsid w:val="FF6ED252"/>
    <w:rsid w:val="FF751C20"/>
    <w:rsid w:val="FF7A57A5"/>
    <w:rsid w:val="FF7F866E"/>
    <w:rsid w:val="FF7F89A8"/>
    <w:rsid w:val="FF7FC72D"/>
    <w:rsid w:val="FF7FDC6C"/>
    <w:rsid w:val="FF911BAB"/>
    <w:rsid w:val="FF9DA432"/>
    <w:rsid w:val="FFAE883F"/>
    <w:rsid w:val="FFAF0F00"/>
    <w:rsid w:val="FFB78824"/>
    <w:rsid w:val="FFB9FE5A"/>
    <w:rsid w:val="FFBF1F67"/>
    <w:rsid w:val="FFBF45F0"/>
    <w:rsid w:val="FFBFC5E6"/>
    <w:rsid w:val="FFCA874D"/>
    <w:rsid w:val="FFCBCC61"/>
    <w:rsid w:val="FFCEA1F3"/>
    <w:rsid w:val="FFCF40BA"/>
    <w:rsid w:val="FFCF8511"/>
    <w:rsid w:val="FFDD4562"/>
    <w:rsid w:val="FFDE10B8"/>
    <w:rsid w:val="FFDF3D66"/>
    <w:rsid w:val="FFE7004C"/>
    <w:rsid w:val="FFE7D7F2"/>
    <w:rsid w:val="FFEB7359"/>
    <w:rsid w:val="FFEDA709"/>
    <w:rsid w:val="FFEFA9EF"/>
    <w:rsid w:val="FFEFECBB"/>
    <w:rsid w:val="FFF25BE8"/>
    <w:rsid w:val="FFF73939"/>
    <w:rsid w:val="FFFA9034"/>
    <w:rsid w:val="FFFD4EB1"/>
    <w:rsid w:val="FFFD723B"/>
    <w:rsid w:val="FFFE091D"/>
    <w:rsid w:val="FFFF14E0"/>
    <w:rsid w:val="FFFF218B"/>
    <w:rsid w:val="FFFF382F"/>
    <w:rsid w:val="FFFF6054"/>
    <w:rsid w:val="FFFF8693"/>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4653</Words>
  <Characters>4875</Characters>
  <Lines>48</Lines>
  <Paragraphs>13</Paragraphs>
  <TotalTime>23</TotalTime>
  <ScaleCrop>false</ScaleCrop>
  <LinksUpToDate>false</LinksUpToDate>
  <CharactersWithSpaces>4901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2022-04-26T21:49:00Z</dcterms:created>
  <dc:creator>user</dc:creator>
  <cp:lastModifiedBy>user</cp:lastModifiedBy>
  <cp:lastPrinted>2022-08-20T03:28:00Z</cp:lastPrinted>
  <dcterms:modified xsi:type="dcterms:W3CDTF">2022-08-23T11:14:30Z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