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w:t>
      </w:r>
      <w:bookmarkStart w:id="0" w:name="_GoBack"/>
      <w:bookmarkEnd w:id="0"/>
      <w:r>
        <w:rPr>
          <w:rFonts w:hint="eastAsia" w:ascii="华文行楷" w:eastAsia="华文行楷"/>
          <w:color w:val="FF0000"/>
          <w:spacing w:val="-60"/>
          <w:sz w:val="180"/>
          <w:szCs w:val="180"/>
        </w:rPr>
        <w:t>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14</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5</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eastAsia="zh-CN" w:bidi="ar"/>
        </w:rPr>
      </w:pPr>
      <w:r>
        <w:rPr>
          <w:rFonts w:hint="eastAsia" w:ascii="华文中宋" w:hAnsi="华文中宋" w:eastAsia="华文中宋" w:cs="华文中宋"/>
          <w:b w:val="0"/>
          <w:bCs w:val="0"/>
          <w:color w:val="auto"/>
          <w:sz w:val="36"/>
          <w:szCs w:val="36"/>
          <w:shd w:val="clear" w:color="auto" w:fill="FFFFFF"/>
          <w:lang w:eastAsia="zh-CN" w:bidi="ar"/>
        </w:rPr>
        <w:t>上海市国资委系统举办纪念五四运动106周年</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eastAsia="zh-CN" w:bidi="ar"/>
        </w:rPr>
      </w:pPr>
      <w:r>
        <w:rPr>
          <w:rFonts w:hint="eastAsia" w:ascii="华文中宋" w:hAnsi="华文中宋" w:eastAsia="华文中宋" w:cs="华文中宋"/>
          <w:b w:val="0"/>
          <w:bCs w:val="0"/>
          <w:color w:val="auto"/>
          <w:sz w:val="36"/>
          <w:szCs w:val="36"/>
          <w:shd w:val="clear" w:color="auto" w:fill="FFFFFF"/>
          <w:lang w:eastAsia="zh-CN" w:bidi="ar"/>
        </w:rPr>
        <w:t>主题团日活动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近日，“青春挺膺勇担当 国企改革建新功”上海市国资委系统纪念五四运动106周年主题团日活动举行。市国资委党委书记、主任贺青出席活动并讲话。团市委副书记、市青联主席邬斌，市国资委党委副书记、一级巡视员程巍出席活动并颁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贺青指出，近年来国资青年在服务国家重大战略、深化企业改革发展、推动产业创新转型等各项任务中作出了重要贡献，在助力国企改革深化提升行动中发挥了积极作用。</w:t>
      </w:r>
      <w:r>
        <w:rPr>
          <w:rFonts w:hint="eastAsia" w:ascii="楷体_GB2312" w:hAnsi="楷体_GB2312" w:eastAsia="楷体_GB2312" w:cs="楷体_GB2312"/>
          <w:b/>
          <w:bCs/>
          <w:sz w:val="32"/>
          <w:szCs w:val="32"/>
          <w:lang w:val="en-US" w:eastAsia="zh-CN"/>
        </w:rPr>
        <w:t>要提高政治站位，在服务中心大局中挺膺担当。</w:t>
      </w:r>
      <w:r>
        <w:rPr>
          <w:rFonts w:hint="eastAsia" w:ascii="Times New Roman" w:hAnsi="Times New Roman" w:eastAsia="仿宋_GB2312" w:cs="Times New Roman"/>
          <w:sz w:val="32"/>
          <w:szCs w:val="32"/>
          <w:lang w:val="en-US" w:eastAsia="zh-CN"/>
        </w:rPr>
        <w:t>广大国资青年要胸怀“国之大者”，紧扣国家和上海战略所需，在服务国家战略中勇当先锋队，在科技创新中勇当生力军，在国企改革深化提升行动中勇当排头兵，主动担当作为，为上海“五个中心”建设贡献国资青年力量。</w:t>
      </w:r>
      <w:r>
        <w:rPr>
          <w:rFonts w:hint="eastAsia" w:ascii="楷体_GB2312" w:hAnsi="楷体_GB2312" w:eastAsia="楷体_GB2312" w:cs="楷体_GB2312"/>
          <w:b/>
          <w:bCs/>
          <w:sz w:val="32"/>
          <w:szCs w:val="32"/>
          <w:lang w:val="en-US" w:eastAsia="zh-CN"/>
        </w:rPr>
        <w:t>要加强团结奋斗，保持和增强政治性先进性群众性。</w:t>
      </w:r>
      <w:r>
        <w:rPr>
          <w:rFonts w:hint="eastAsia" w:ascii="Times New Roman" w:hAnsi="Times New Roman" w:eastAsia="仿宋_GB2312" w:cs="Times New Roman"/>
          <w:sz w:val="32"/>
          <w:szCs w:val="32"/>
          <w:lang w:val="en-US" w:eastAsia="zh-CN"/>
        </w:rPr>
        <w:t>系统各级团组织要切实提升引领力、组织力、服务力，加强青年思想引领，动员青年岗位建功，解决青年“急难愁盼”问题。市国资青联要持续发挥创新引领、引才引智的作用，把各领域的企业青年更加紧密地团结在党的周围。</w:t>
      </w:r>
      <w:r>
        <w:rPr>
          <w:rFonts w:hint="eastAsia" w:ascii="楷体_GB2312" w:hAnsi="楷体_GB2312" w:eastAsia="楷体_GB2312" w:cs="楷体_GB2312"/>
          <w:b/>
          <w:bCs/>
          <w:sz w:val="32"/>
          <w:szCs w:val="32"/>
          <w:lang w:val="en-US" w:eastAsia="zh-CN"/>
        </w:rPr>
        <w:t>要坚持党管青年，持续引领国资青年成长成才。</w:t>
      </w:r>
      <w:r>
        <w:rPr>
          <w:rFonts w:hint="eastAsia" w:ascii="Times New Roman" w:hAnsi="Times New Roman" w:eastAsia="仿宋_GB2312" w:cs="Times New Roman"/>
          <w:sz w:val="32"/>
          <w:szCs w:val="32"/>
          <w:lang w:val="en-US" w:eastAsia="zh-CN"/>
        </w:rPr>
        <w:t>系统各级党组织要加强对青年工作的指导，坚持党建带团建，把青年工作纳入党建工作整体布局。加强对青年人才的培养，抓好选育管用，分层分类推进青年人才队伍建设。加强对青年群体的关怀，关心青年思想动态，结合企业实际推出有针对性的青年工作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活动现场进行了先进表彰，为获得2025年度新时代青年先锋、全国优秀共青团员、第十八届“振兴杯”全国青年职业技能大赛金奖、上海市基层团组织典型选树通报表扬等荣誉的系统先进集体和个人颁奖。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活动设置主题分享环节，围绕“青春铸魂·改革信念薪火传”“青春砺剑·改革攻坚勇担当”“青春领航·新质动能向未来”三个篇章展开。来自市国资委系统企业的优秀青年代表通过原创歌曲、朗诵、情景剧、TED演讲、团队路演等形式，展示国资青年在重大工程建设、科技创新突破、保障服务民生中的青春风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市国资委团工委联合市国资青联共同发布了上海国资青年青春建言“十五五”活动和“上海国资青年租赁住房电子地图”。（上海市国资委）</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发挥国资运营平台作用</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bidi="ar"/>
        </w:rPr>
        <w:t>上海国盛集团聚合资本赋能新质生产力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国盛集团成功发行2025年度第一期科技创新债券，以35亿元发行规模、15年超长期限、2.13%的低利率及2.13倍的认购倍数，刷新全国科创债发行记录，成为全国首批科技创新债券中单期发行规模最大、发行期限最长的标杆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期债券募集资金将精准锚定国家战略方向，全力投入航空航天、集成电路等国家战略性新兴产业，重点支持关键核心技术攻关项目，同时强化高端装备制造与智慧物流的产业链协同创新，充分彰显上海国盛集团服务国家创新驱动发展战略的责任担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作为全国首单超长期科技创新债券，不仅体现了资本市场对于上海国盛集团综合实力和发展前景的高度认可，更凸显了国有资本在促进科技创新发展、赋能实体经济高质量发展中的示范引领作用。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盛集团将持续深化与上海国资系统的协同联动，聚合资本市场多元力量，聚焦上海新质生产力培育、产业布局优化升级与新旧动能转换等核心领域，通过国资协同整合资源、资本要素高效配置，全力构建“科技-产业-资本”高效循环生态体系，为提升上海科创中心能级、推动国家经济高质量发展贡献“国盛力量”，书写金融赋能科教创新的时代新篇。（上海国盛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上海国企助力盘活国有资产、优化布局</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探索保租房项目可持续发展路径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市属国企首单存量R4地块并购盘活项目——城投宽庭徐汇社区开业运营。该社区是上海城投集团、上海国盛集团、上海仪电三家国资产业集团通力合作的标杆项目，也是上海城投集团落实不动产投资信托基金（REITs）滚动投资，构建保租房业务“投融建管退”资本循环的关键一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投宽庭徐汇社区是通过城投宽庭保租房REIT净回收资金完成收购的一个典型范例，该项目原为华鑫置业开发的存量资产，通过市属产业集团之间协调资源整合盘活。作为上海保租房建设的主力军，上海城投控股股份有限公司（城投控股）为不以保租房业务为主业的市属国企提供了存量R4地块盘活新路径、新方案，助力国资布局优化，对市场中的同类资产有重大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区通过深度融合职住平衡理念，助力区域人才集聚与产城融合，实现国资高效配置，持续以标准化产品与REITs扩募“双轮”驱动，为上海构建多层次住房保障体系与科创人才生态注入新动能，彰显了租赁住房领域可持续发展的实践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投宽庭徐汇社区未来将筹划注入城投宽庭保租房REIT，此举将在确保项目高效运营的同时，做大做强战略资产上市平台，推动城投宽庭在保租房领域的持续发展和市场竞争力，形成“开发—运营—退出—再投资”的良性循环，并进一步激发城投控股盘活存量并扩大有效投资的澎湃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投宽庭徐汇社区周边15分钟步行圈覆盖商业广场、公园、医院，形成功能复合的城市生活单元；共有1283套房源，社区规划有约600㎡商业空间，计划引入便利店、洗衣房、宠物店等便民业态；同步打造滨水休闲步道、共享书吧、多功能活动厅等社交场域，满足居民从基础生活到精神文化的多层次需求。社区将通过定期举办市集、艺术展、邻里互动等活动，激活社区温度，重构城市“熟人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投宽庭自2019年以来已在上海6大区域开设并运营10个社区，成为上海租赁住房行业的领军品牌之一。未来，城投宽庭将秉持“品质租赁住房创领者”定位，推动人才安居从“住有所居”向“住有优居”跃升。（上海城投集团、上海国盛集团、上海仪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上海地产集团深化</w:t>
      </w:r>
      <w:r>
        <w:rPr>
          <w:rFonts w:hint="eastAsia" w:ascii="华文中宋" w:hAnsi="华文中宋" w:eastAsia="华文中宋" w:cs="华文中宋"/>
          <w:color w:val="auto"/>
          <w:sz w:val="36"/>
          <w:szCs w:val="36"/>
          <w:shd w:val="clear" w:color="auto" w:fill="FFFFFF"/>
          <w:lang w:eastAsia="zh-CN" w:bidi="ar"/>
        </w:rPr>
        <w:t>“</w:t>
      </w:r>
      <w:r>
        <w:rPr>
          <w:rFonts w:hint="eastAsia" w:ascii="华文中宋" w:hAnsi="华文中宋" w:eastAsia="华文中宋" w:cs="华文中宋"/>
          <w:color w:val="auto"/>
          <w:sz w:val="36"/>
          <w:szCs w:val="36"/>
          <w:shd w:val="clear" w:color="auto" w:fill="FFFFFF"/>
          <w:lang w:bidi="ar"/>
        </w:rPr>
        <w:t>酒店+</w:t>
      </w:r>
      <w:r>
        <w:rPr>
          <w:rFonts w:hint="eastAsia" w:ascii="华文中宋" w:hAnsi="华文中宋" w:eastAsia="华文中宋" w:cs="华文中宋"/>
          <w:color w:val="auto"/>
          <w:sz w:val="36"/>
          <w:szCs w:val="36"/>
          <w:shd w:val="clear" w:color="auto" w:fill="FFFFFF"/>
          <w:lang w:eastAsia="zh-CN" w:bidi="ar"/>
        </w:rPr>
        <w:t>”</w:t>
      </w:r>
      <w:r>
        <w:rPr>
          <w:rFonts w:hint="eastAsia" w:ascii="华文中宋" w:hAnsi="华文中宋" w:eastAsia="华文中宋" w:cs="华文中宋"/>
          <w:color w:val="auto"/>
          <w:sz w:val="36"/>
          <w:szCs w:val="36"/>
          <w:shd w:val="clear" w:color="auto" w:fill="FFFFFF"/>
          <w:lang w:bidi="ar"/>
        </w:rPr>
        <w:t>战略</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构建全维度产品矩阵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上海地产集团旗下酒店以“城市文商旅融合服务商”为战略定位，通过“酒店+”模式创新产业融合路径，在巩固文化艺术领域传统优势的同时，积极开拓游戏产业新兴赛道，构建多维度营收体系。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深耕</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酒店+文化艺术</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传统领域。</w:t>
      </w:r>
      <w:r>
        <w:rPr>
          <w:rFonts w:hint="eastAsia" w:ascii="Times New Roman" w:hAnsi="Times New Roman" w:eastAsia="仿宋_GB2312" w:cs="Times New Roman"/>
          <w:sz w:val="32"/>
          <w:szCs w:val="32"/>
          <w:lang w:val="en-US" w:eastAsia="zh-CN"/>
        </w:rPr>
        <w:t>衡山路十二号华邑酒店持续深化艺术场景运营。作为第十二届AArt上海城市艺术博览会指定合作伙伴，酒店以“你的客房美术馆”为主题，将酒店客房空间转化为沉浸式艺术展厅；推出“艺术生活体验计划”，在公共区域设置融合非遗技艺的新中式茶歇角，开发限定款艺术主题糕点与中式特调饮品，并由专业茶艺师进行现场中式茶道表演；联合上海文化广场推出“华邑×文化广场”主题套餐、酒店会员专属彩蛋“艺术下午茶”套餐等，通过会员体系互通与文化消费场景延伸，实现艺术与餐饮业态双向赋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开拓</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酒店+游戏产业</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新兴赛道。</w:t>
      </w:r>
      <w:r>
        <w:rPr>
          <w:rFonts w:hint="eastAsia" w:ascii="Times New Roman" w:hAnsi="Times New Roman" w:eastAsia="仿宋_GB2312" w:cs="Times New Roman"/>
          <w:sz w:val="32"/>
          <w:szCs w:val="32"/>
          <w:lang w:val="en-US" w:eastAsia="zh-CN"/>
        </w:rPr>
        <w:t>针对Z世代消费群体，创新切入“酒店+游戏产业”新兴赛道，通过差异化服务实现会议空间与餐饮业态的联动运营。世博洲际酒店与米哈游团队深度合作，将《原神》《崩坏：星穹铁道》等IP元素融入餐饮服务，打造角色造型创意餐点，以创意细节提升服务附加值；世博逸衡酒店为鹰角网络团队定制“晨曦护航”专属服务，针对游戏开发者“破晓集结”的差异化工作特性，全面提升功能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酒店+文化艺术”“酒店+游戏产业”的协同战略，上海地产集团致力于形成文化体验与数字经济的复合型收益模型。未来，将持续挖掘“文商旅体展”产业联盟资源，在元宇宙空间、国潮文化等领域探索拓展场景边界，助力构建覆盖商务差旅、文化体验、数字娱乐的全维度产品矩阵，为城市更新背景下的酒店业务拓展转型提供创新范本。（上海地产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上海地产集团构建虹桥枢纽智慧治理应用场景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上海地产集团秉持智慧化转型升级理念，创新打造虹桥枢纽一体化运行管理应用场景，积极应对虹桥枢纽“大客流、高密度、多制式”运营环境带来的管理挑战。该应用场景基于智能算法和数字孪生等技术，依托前端自动监测设备、AI智慧分析技术、双光谱感知相机、创新应用数据模型等构建，深度融合多种交通方式的客流数据以及管辖区域运营数据和资源，实现“机器管人、机器管事”的枢纽运行闭环管理，标志着上海在特大型交通枢纽智慧治理领域取得重要突破，为打造世界级交通枢纽数字化治理样板提供了“虹桥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全场景实时管控，保障枢纽高效运行。</w:t>
      </w:r>
      <w:r>
        <w:rPr>
          <w:rFonts w:hint="eastAsia" w:ascii="Times New Roman" w:hAnsi="Times New Roman" w:eastAsia="仿宋_GB2312" w:cs="Times New Roman"/>
          <w:b w:val="0"/>
          <w:bCs w:val="0"/>
          <w:sz w:val="32"/>
          <w:szCs w:val="32"/>
          <w:lang w:val="en-US" w:eastAsia="zh-CN"/>
        </w:rPr>
        <w:t>今年“五一”假期，虹桥枢纽应用场景正式投入实战应用，平台首次实现全要素数字化联动管控，将复杂交通场景转化为精准服务单元。运用AI预测模型预判峰值时段，结合阈值预警及电子预案库等，有效联动相关部门实施动态管控，有效预防旅客滞留和枢纽内部拥堵，实现了近年来节假日滞留点设置和免费放行的“零”突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热力图智能引导，调配机动服务人员。</w:t>
      </w:r>
      <w:r>
        <w:rPr>
          <w:rFonts w:hint="eastAsia" w:ascii="Times New Roman" w:hAnsi="Times New Roman" w:eastAsia="仿宋_GB2312" w:cs="Times New Roman"/>
          <w:b w:val="0"/>
          <w:bCs w:val="0"/>
          <w:sz w:val="32"/>
          <w:szCs w:val="32"/>
          <w:lang w:val="en-US" w:eastAsia="zh-CN"/>
        </w:rPr>
        <w:t>平台创新推出“需求热力图”功能，结合铁路预测客流、展会信息、中国天气网天气预警等形成日历管理运行态势，各重点管理区域客流、车流压力及资源全貌清晰呈现，据此优化现场运行保障力量配置，为往来旅客提供精准引导服务，真正将“绣花功夫”转化为民生温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跨部门精准响应，提升旅客服务体验。</w:t>
      </w:r>
      <w:r>
        <w:rPr>
          <w:rFonts w:hint="eastAsia" w:ascii="Times New Roman" w:hAnsi="Times New Roman" w:eastAsia="仿宋_GB2312" w:cs="Times New Roman"/>
          <w:b w:val="0"/>
          <w:bCs w:val="0"/>
          <w:sz w:val="32"/>
          <w:szCs w:val="32"/>
          <w:lang w:val="en-US" w:eastAsia="zh-CN"/>
        </w:rPr>
        <w:t>平台通过HOC运控中心与虹桥枢纽应急响应中心ERC的高效联动，建立起“问题接收—处理追踪—服务质量提升”的闭环管理体系，实现跨部门的信息精准触达和问题协同处置，有效提高突发事件跨部门的响应效率，全面促进枢纽运行的高效与顺畅。（上海地产集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低碳智能超大型汽车滚装船正式入列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上汽自营船队再扩容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近日，上汽集团旗下安吉物流建造的全球最大滚装船——</w:t>
      </w:r>
      <w:r>
        <w:rPr>
          <w:rFonts w:hint="default" w:ascii="Times New Roman" w:hAnsi="Times New Roman" w:eastAsia="仿宋_GB2312" w:cs="Times New Roman"/>
          <w:b w:val="0"/>
          <w:bCs w:val="0"/>
          <w:sz w:val="32"/>
          <w:szCs w:val="32"/>
          <w:lang w:val="en-US" w:eastAsia="zh-CN"/>
        </w:rPr>
        <w:t>9500</w:t>
      </w:r>
      <w:r>
        <w:rPr>
          <w:rFonts w:hint="eastAsia" w:ascii="仿宋_GB2312" w:hAnsi="仿宋_GB2312" w:eastAsia="仿宋_GB2312" w:cs="仿宋_GB2312"/>
          <w:b w:val="0"/>
          <w:bCs w:val="0"/>
          <w:sz w:val="32"/>
          <w:szCs w:val="32"/>
          <w:lang w:val="en-US" w:eastAsia="zh-CN"/>
        </w:rPr>
        <w:t>车位远洋汽车运输船，正式命名为“安吉安盛”轮，开启欧洲首航。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随着这艘全球最大、装载能力最强、能效水平最佳的低碳智能超大型汽车滚装船正式入列，上汽安吉物流中国第一、全球领先的整车物流运输自营船队已扩容至</w:t>
      </w:r>
      <w:r>
        <w:rPr>
          <w:rFonts w:hint="default" w:ascii="Times New Roman" w:hAnsi="Times New Roman" w:eastAsia="仿宋_GB2312" w:cs="Times New Roman"/>
          <w:b w:val="0"/>
          <w:bCs w:val="0"/>
          <w:sz w:val="32"/>
          <w:szCs w:val="32"/>
          <w:lang w:val="en-US" w:eastAsia="zh-CN"/>
        </w:rPr>
        <w:t>35</w:t>
      </w:r>
      <w:r>
        <w:rPr>
          <w:rFonts w:hint="eastAsia" w:ascii="仿宋_GB2312" w:hAnsi="仿宋_GB2312" w:eastAsia="仿宋_GB2312" w:cs="仿宋_GB2312"/>
          <w:b w:val="0"/>
          <w:bCs w:val="0"/>
          <w:sz w:val="32"/>
          <w:szCs w:val="32"/>
          <w:lang w:val="en-US" w:eastAsia="zh-CN"/>
        </w:rPr>
        <w:t>艘规模，进一步支撑中国自主品牌加速跨洋出海。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海外业务持续突破，是上汽大规模“造船出海”的主要原因。截至</w:t>
      </w:r>
      <w:r>
        <w:rPr>
          <w:rFonts w:hint="default" w:ascii="Times New Roman" w:hAnsi="Times New Roman" w:eastAsia="仿宋_GB2312" w:cs="Times New Roman"/>
          <w:b w:val="0"/>
          <w:bCs w:val="0"/>
          <w:sz w:val="32"/>
          <w:szCs w:val="32"/>
          <w:lang w:val="en-US" w:eastAsia="zh-CN"/>
        </w:rPr>
        <w:t>2024</w:t>
      </w:r>
      <w:r>
        <w:rPr>
          <w:rFonts w:hint="eastAsia" w:ascii="仿宋_GB2312" w:hAnsi="仿宋_GB2312" w:eastAsia="仿宋_GB2312" w:cs="仿宋_GB2312"/>
          <w:b w:val="0"/>
          <w:bCs w:val="0"/>
          <w:sz w:val="32"/>
          <w:szCs w:val="32"/>
          <w:lang w:val="en-US" w:eastAsia="zh-CN"/>
        </w:rPr>
        <w:t>年年末，上汽在海外市场累计交付超过</w:t>
      </w:r>
      <w:r>
        <w:rPr>
          <w:rFonts w:hint="default" w:ascii="Times New Roman" w:hAnsi="Times New Roman" w:eastAsia="仿宋_GB2312" w:cs="Times New Roman"/>
          <w:b w:val="0"/>
          <w:bCs w:val="0"/>
          <w:sz w:val="32"/>
          <w:szCs w:val="32"/>
          <w:lang w:val="en-US" w:eastAsia="zh-CN"/>
        </w:rPr>
        <w:t>550</w:t>
      </w:r>
      <w:r>
        <w:rPr>
          <w:rFonts w:hint="eastAsia" w:ascii="仿宋_GB2312" w:hAnsi="仿宋_GB2312" w:eastAsia="仿宋_GB2312" w:cs="仿宋_GB2312"/>
          <w:b w:val="0"/>
          <w:bCs w:val="0"/>
          <w:sz w:val="32"/>
          <w:szCs w:val="32"/>
          <w:lang w:val="en-US" w:eastAsia="zh-CN"/>
        </w:rPr>
        <w:t>万辆，成为“出海最多”的中国汽车企业。上汽已连续</w:t>
      </w:r>
      <w:r>
        <w:rPr>
          <w:rFonts w:hint="default"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年汽车出口第一、连续</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年海外年销量超</w:t>
      </w:r>
      <w:r>
        <w:rPr>
          <w:rFonts w:hint="default"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万辆，欧洲发达国家销量占比达</w:t>
      </w:r>
      <w:r>
        <w:rPr>
          <w:rFonts w:hint="default" w:ascii="Times New Roman" w:hAnsi="Times New Roman" w:eastAsia="仿宋_GB2312" w:cs="Times New Roman"/>
          <w:b w:val="0"/>
          <w:bCs w:val="0"/>
          <w:sz w:val="32"/>
          <w:szCs w:val="32"/>
          <w:lang w:val="en-US" w:eastAsia="zh-CN"/>
        </w:rPr>
        <w:t>25%</w:t>
      </w:r>
      <w:r>
        <w:rPr>
          <w:rFonts w:hint="eastAsia" w:ascii="仿宋_GB2312" w:hAnsi="仿宋_GB2312" w:eastAsia="仿宋_GB2312" w:cs="仿宋_GB2312"/>
          <w:b w:val="0"/>
          <w:bCs w:val="0"/>
          <w:sz w:val="32"/>
          <w:szCs w:val="32"/>
          <w:lang w:val="en-US" w:eastAsia="zh-CN"/>
        </w:rPr>
        <w:t>；上汽旗下全球汽车品牌</w:t>
      </w:r>
      <w:r>
        <w:rPr>
          <w:rFonts w:hint="default" w:ascii="Times New Roman" w:hAnsi="Times New Roman" w:eastAsia="仿宋_GB2312" w:cs="Times New Roman"/>
          <w:b w:val="0"/>
          <w:bCs w:val="0"/>
          <w:sz w:val="32"/>
          <w:szCs w:val="32"/>
          <w:lang w:val="en-US" w:eastAsia="zh-CN"/>
        </w:rPr>
        <w:t>MG</w:t>
      </w:r>
      <w:r>
        <w:rPr>
          <w:rFonts w:hint="eastAsia" w:ascii="仿宋_GB2312" w:hAnsi="仿宋_GB2312" w:eastAsia="仿宋_GB2312" w:cs="仿宋_GB2312"/>
          <w:b w:val="0"/>
          <w:bCs w:val="0"/>
          <w:sz w:val="32"/>
          <w:szCs w:val="32"/>
          <w:lang w:val="en-US" w:eastAsia="zh-CN"/>
        </w:rPr>
        <w:t>，自</w:t>
      </w:r>
      <w:r>
        <w:rPr>
          <w:rFonts w:hint="default" w:ascii="Times New Roman" w:hAnsi="Times New Roman" w:eastAsia="仿宋_GB2312" w:cs="Times New Roman"/>
          <w:b w:val="0"/>
          <w:bCs w:val="0"/>
          <w:sz w:val="32"/>
          <w:szCs w:val="32"/>
          <w:lang w:val="en-US" w:eastAsia="zh-CN"/>
        </w:rPr>
        <w:t>2007</w:t>
      </w:r>
      <w:r>
        <w:rPr>
          <w:rFonts w:hint="eastAsia" w:ascii="仿宋_GB2312" w:hAnsi="仿宋_GB2312" w:eastAsia="仿宋_GB2312" w:cs="仿宋_GB2312"/>
          <w:b w:val="0"/>
          <w:bCs w:val="0"/>
          <w:sz w:val="32"/>
          <w:szCs w:val="32"/>
          <w:lang w:val="en-US" w:eastAsia="zh-CN"/>
        </w:rPr>
        <w:t>年进入自主阵营以来，全球累计销量超过</w:t>
      </w:r>
      <w:r>
        <w:rPr>
          <w:rFonts w:hint="default" w:ascii="Times New Roman" w:hAnsi="Times New Roman" w:eastAsia="仿宋_GB2312" w:cs="Times New Roman"/>
          <w:b w:val="0"/>
          <w:bCs w:val="0"/>
          <w:sz w:val="32"/>
          <w:szCs w:val="32"/>
          <w:lang w:val="en-US" w:eastAsia="zh-CN"/>
        </w:rPr>
        <w:t>500</w:t>
      </w:r>
      <w:r>
        <w:rPr>
          <w:rFonts w:hint="eastAsia" w:ascii="仿宋_GB2312" w:hAnsi="仿宋_GB2312" w:eastAsia="仿宋_GB2312" w:cs="仿宋_GB2312"/>
          <w:b w:val="0"/>
          <w:bCs w:val="0"/>
          <w:sz w:val="32"/>
          <w:szCs w:val="32"/>
          <w:lang w:val="en-US" w:eastAsia="zh-CN"/>
        </w:rPr>
        <w:t>万辆，在海外</w:t>
      </w:r>
      <w:r>
        <w:rPr>
          <w:rFonts w:hint="default"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多个国家位列销量前十。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作为中国首家有系统、有规划、成建制“走出去”的汽车企业，上汽已经建立了集研发、营销、物流、零部件、制造、金融、二手车等为一体的面向全球市场的汽车产业链，产品和服务进入全</w:t>
      </w:r>
      <w:r>
        <w:rPr>
          <w:rFonts w:hint="default" w:ascii="Times New Roman" w:hAnsi="Times New Roman" w:eastAsia="仿宋_GB2312" w:cs="Times New Roman"/>
          <w:b w:val="0"/>
          <w:bCs w:val="0"/>
          <w:sz w:val="32"/>
          <w:szCs w:val="32"/>
          <w:lang w:val="en-US" w:eastAsia="zh-CN"/>
        </w:rPr>
        <w:t>球100</w:t>
      </w:r>
      <w:r>
        <w:rPr>
          <w:rFonts w:hint="eastAsia" w:ascii="仿宋_GB2312" w:hAnsi="仿宋_GB2312" w:eastAsia="仿宋_GB2312" w:cs="仿宋_GB2312"/>
          <w:b w:val="0"/>
          <w:bCs w:val="0"/>
          <w:sz w:val="32"/>
          <w:szCs w:val="32"/>
          <w:lang w:val="en-US" w:eastAsia="zh-CN"/>
        </w:rPr>
        <w:t>余个国家和地区。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上汽集团已发布海外战略</w:t>
      </w:r>
      <w:r>
        <w:rPr>
          <w:rFonts w:hint="default" w:ascii="Times New Roman" w:hAnsi="Times New Roman" w:eastAsia="仿宋_GB2312" w:cs="Times New Roman"/>
          <w:b w:val="0"/>
          <w:bCs w:val="0"/>
          <w:sz w:val="32"/>
          <w:szCs w:val="32"/>
          <w:lang w:val="en-US" w:eastAsia="zh-CN"/>
        </w:rPr>
        <w:t>3.0</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Glocal</w:t>
      </w:r>
      <w:r>
        <w:rPr>
          <w:rFonts w:hint="eastAsia" w:ascii="仿宋_GB2312" w:hAnsi="仿宋_GB2312" w:eastAsia="仿宋_GB2312" w:cs="仿宋_GB2312"/>
          <w:b w:val="0"/>
          <w:bCs w:val="0"/>
          <w:sz w:val="32"/>
          <w:szCs w:val="32"/>
          <w:lang w:val="en-US" w:eastAsia="zh-CN"/>
        </w:rPr>
        <w:t>战略”，即“全球+本土”的组合战略。未来</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年，依托自身深厚的电动智能网联技术积累</w:t>
      </w:r>
      <w:r>
        <w:rPr>
          <w:rFonts w:hint="default" w:ascii="Times New Roman" w:hAnsi="Times New Roman" w:eastAsia="仿宋_GB2312" w:cs="Times New Roman"/>
          <w:b w:val="0"/>
          <w:bCs w:val="0"/>
          <w:sz w:val="32"/>
          <w:szCs w:val="32"/>
          <w:lang w:val="en-US" w:eastAsia="zh-CN"/>
        </w:rPr>
        <w:t>，上汽将打造包括SUV、轿车、MPV、皮卡在内的17款全新海外车型，搭载全新HEV混</w:t>
      </w:r>
      <w:r>
        <w:rPr>
          <w:rFonts w:hint="eastAsia" w:ascii="仿宋_GB2312" w:hAnsi="仿宋_GB2312" w:eastAsia="仿宋_GB2312" w:cs="仿宋_GB2312"/>
          <w:b w:val="0"/>
          <w:bCs w:val="0"/>
          <w:sz w:val="32"/>
          <w:szCs w:val="32"/>
          <w:lang w:val="en-US" w:eastAsia="zh-CN"/>
        </w:rPr>
        <w:t>合动力系统的车型将覆盖全球主流细分市场，固态电池等颠覆性技术也将实现落地应用，进一步建设全球汽车品牌和本地化体系生态。（上汽集团）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以AI技术守护城市交通安全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隧道股份打造</w:t>
      </w:r>
      <w:r>
        <w:rPr>
          <w:rFonts w:hint="eastAsia" w:ascii="华文中宋" w:hAnsi="华文中宋" w:eastAsia="华文中宋" w:cs="华文中宋"/>
          <w:b w:val="0"/>
          <w:bCs w:val="0"/>
          <w:sz w:val="36"/>
          <w:szCs w:val="36"/>
          <w:lang w:val="en-US" w:eastAsia="zh-CN"/>
        </w:rPr>
        <w:t>“</w:t>
      </w:r>
      <w:r>
        <w:rPr>
          <w:rFonts w:hint="eastAsia" w:ascii="华文中宋" w:hAnsi="华文中宋" w:eastAsia="华文中宋" w:cs="华文中宋"/>
          <w:b w:val="0"/>
          <w:bCs w:val="0"/>
          <w:sz w:val="36"/>
          <w:szCs w:val="36"/>
          <w:lang w:val="en-US" w:eastAsia="zh-CN"/>
        </w:rPr>
        <w:t>智城云巡</w:t>
      </w:r>
      <w:r>
        <w:rPr>
          <w:rFonts w:hint="eastAsia" w:ascii="华文中宋" w:hAnsi="华文中宋" w:eastAsia="华文中宋" w:cs="华文中宋"/>
          <w:b w:val="0"/>
          <w:bCs w:val="0"/>
          <w:sz w:val="36"/>
          <w:szCs w:val="36"/>
          <w:lang w:val="en-US" w:eastAsia="zh-CN"/>
        </w:rPr>
        <w:t>”</w:t>
      </w:r>
      <w:r>
        <w:rPr>
          <w:rFonts w:hint="eastAsia" w:ascii="华文中宋" w:hAnsi="华文中宋" w:eastAsia="华文中宋" w:cs="华文中宋"/>
          <w:b w:val="0"/>
          <w:bCs w:val="0"/>
          <w:sz w:val="36"/>
          <w:szCs w:val="36"/>
          <w:lang w:val="en-US" w:eastAsia="zh-CN"/>
        </w:rPr>
        <w:t>智慧巡检系统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近日，由隧道股份城市运营打造的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智城云巡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智慧巡检系统正式投入浦东新区花木片区交通基础设施运营。该系统集成AI大模型、高精度定位与云端协同等核心技术，将道路巡检车升级为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移动CT机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，在行驶过程中自动扫描分析路面病害，通过AI技术为城市交通安全与高效运营提供创新解决方案，赋能城市交通安全与应急管理。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搭载</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智城云巡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系统该系统由隧道股份城市运营自主研发，集成时空智能、地理信息采集、AI大模型及边缘计算等技术，可替代传统人工巡检。在时速80公里的动态检测中，不仅能实时识别道路裂缝、坑槽、积水等病害，还能捕捉标志牌损坏、护栏缺损等基础设施问题，并实现毫米级精确定位和病害研判。实测数据显示，该系统病害识别准确率超90%，位置信息误差控制在厘米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针对前端采集的病害隐患，隧道股份城市运营还建设了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城市基础设施智慧巡检平台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，为后端病害处置提供了高效方案。通过AI算法推动养护策略从</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被动维修</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转向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主动防护</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，再大幅降低了养护人员对病害线索筛选判断的工作量的同时，可实现4小时内</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病害发现、预警上报、派单处置</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的智能化全流程管理，真正实现为道路</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治未病</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目前，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智城云巡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已全面覆盖上海花木片区主干道，并在成都、嘉善、厦门等城市推广应用。在数字化转型背景下，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智城云巡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既是技术创新的典范，更标志着城市安全管理从事后处置向事前预防的重要跨越。（隧道股份）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建设航空产业集聚高地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临港新片区大飞机园重点项目集中启动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近日，临港新片区大飞机园重点项目集中启动仪式举行。10余家航空产业项目签约入园，16家入园项目签订开工承诺书。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临港新片区大飞机航空产业园（简称“大飞机园”）将以入园项目集中启动为契机，锚定“建设世界级航空产业集群”这一愿景，坚定“围绕总装，服务总装，保障总装”的定位，强导入、促开工，持续夯实软硬件发展基础，全力推动航空产业资源要素加速集聚，健全完善园区产业配套功能，为大飞机规模化系列化发展提供更强有力的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大飞机园位于浦东机场南侧区域，总规划面积24.7平方公里，自2020年启动建设以来就秉承着服务大飞机国家战略，打造世界级产业集群的光荣使命，实现了从零到一的突破，有力保障了大飞机产业配套需求，开启了“平地兴产、探路先行”的新图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未来，大飞机园将进一步发挥临港新片区、特殊综保区“全方位高水平对外开放”政策优势、大飞机“工业皇冠”的产业拉动优势、浦东机场国际航空枢纽的全球联动优势，打造航空产业承载平台、科创平台，壮大我国商用飞机供应商集群。（临港集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lang w:val="en-US" w:eastAsia="zh-CN"/>
        </w:rPr>
      </w:pP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88D"/>
    <w:rsid w:val="02CF179A"/>
    <w:rsid w:val="03983AEF"/>
    <w:rsid w:val="03A4182A"/>
    <w:rsid w:val="0445609B"/>
    <w:rsid w:val="06AB0FB7"/>
    <w:rsid w:val="070B0A6A"/>
    <w:rsid w:val="073C1BB7"/>
    <w:rsid w:val="07825089"/>
    <w:rsid w:val="07B63ECE"/>
    <w:rsid w:val="07C0730B"/>
    <w:rsid w:val="080229C2"/>
    <w:rsid w:val="08A27432"/>
    <w:rsid w:val="09F83F30"/>
    <w:rsid w:val="0A1E0C9C"/>
    <w:rsid w:val="0A971B3B"/>
    <w:rsid w:val="0ACB1125"/>
    <w:rsid w:val="0DAD5474"/>
    <w:rsid w:val="0E3C6235"/>
    <w:rsid w:val="0F764DF6"/>
    <w:rsid w:val="10230ECA"/>
    <w:rsid w:val="118F67AC"/>
    <w:rsid w:val="11AA31D0"/>
    <w:rsid w:val="1236585E"/>
    <w:rsid w:val="13540142"/>
    <w:rsid w:val="13F66A35"/>
    <w:rsid w:val="162A04E8"/>
    <w:rsid w:val="165476B9"/>
    <w:rsid w:val="190C16D7"/>
    <w:rsid w:val="193C57A2"/>
    <w:rsid w:val="1A2F2214"/>
    <w:rsid w:val="1A7F5348"/>
    <w:rsid w:val="1C012633"/>
    <w:rsid w:val="1C7812E6"/>
    <w:rsid w:val="1CF006D7"/>
    <w:rsid w:val="1D981EDF"/>
    <w:rsid w:val="1F0410D5"/>
    <w:rsid w:val="207B5586"/>
    <w:rsid w:val="20F929D3"/>
    <w:rsid w:val="216A3DB7"/>
    <w:rsid w:val="219E3C2C"/>
    <w:rsid w:val="22A80C48"/>
    <w:rsid w:val="22EA71EF"/>
    <w:rsid w:val="23C0706B"/>
    <w:rsid w:val="24C743FC"/>
    <w:rsid w:val="24ED2A08"/>
    <w:rsid w:val="25097D46"/>
    <w:rsid w:val="250D4823"/>
    <w:rsid w:val="2516574D"/>
    <w:rsid w:val="25F5339D"/>
    <w:rsid w:val="2666515F"/>
    <w:rsid w:val="26C35C39"/>
    <w:rsid w:val="27300D39"/>
    <w:rsid w:val="2760460C"/>
    <w:rsid w:val="27A9758C"/>
    <w:rsid w:val="281744F4"/>
    <w:rsid w:val="28244762"/>
    <w:rsid w:val="285E6A86"/>
    <w:rsid w:val="29254C53"/>
    <w:rsid w:val="2B7012F8"/>
    <w:rsid w:val="2C014C4B"/>
    <w:rsid w:val="2E361A68"/>
    <w:rsid w:val="2EB77C5F"/>
    <w:rsid w:val="2ECE3A26"/>
    <w:rsid w:val="2F2F162D"/>
    <w:rsid w:val="2F7375FF"/>
    <w:rsid w:val="300D329E"/>
    <w:rsid w:val="301B7493"/>
    <w:rsid w:val="301F3094"/>
    <w:rsid w:val="30290226"/>
    <w:rsid w:val="312F01DD"/>
    <w:rsid w:val="31CD5D35"/>
    <w:rsid w:val="31E6344B"/>
    <w:rsid w:val="32500983"/>
    <w:rsid w:val="343329BE"/>
    <w:rsid w:val="35514402"/>
    <w:rsid w:val="3554216E"/>
    <w:rsid w:val="3786512C"/>
    <w:rsid w:val="38920A60"/>
    <w:rsid w:val="3AB20F60"/>
    <w:rsid w:val="3AD04F66"/>
    <w:rsid w:val="3AF77724"/>
    <w:rsid w:val="3B7C5DBF"/>
    <w:rsid w:val="3BCB23D0"/>
    <w:rsid w:val="3C3E6BFF"/>
    <w:rsid w:val="3EFA3C04"/>
    <w:rsid w:val="3FA24FAE"/>
    <w:rsid w:val="3FC0550C"/>
    <w:rsid w:val="3FD0329A"/>
    <w:rsid w:val="406250BE"/>
    <w:rsid w:val="417409FD"/>
    <w:rsid w:val="41EF0922"/>
    <w:rsid w:val="42CA1BFE"/>
    <w:rsid w:val="433D0234"/>
    <w:rsid w:val="435D2315"/>
    <w:rsid w:val="446C643C"/>
    <w:rsid w:val="44816CA3"/>
    <w:rsid w:val="469541D9"/>
    <w:rsid w:val="46E70277"/>
    <w:rsid w:val="470E1118"/>
    <w:rsid w:val="492935CE"/>
    <w:rsid w:val="492A6C68"/>
    <w:rsid w:val="49933CCA"/>
    <w:rsid w:val="49F1532D"/>
    <w:rsid w:val="4B70108D"/>
    <w:rsid w:val="4B8259EC"/>
    <w:rsid w:val="4C1B6F2D"/>
    <w:rsid w:val="4D0079D8"/>
    <w:rsid w:val="4DBF241A"/>
    <w:rsid w:val="4E0A31AD"/>
    <w:rsid w:val="4EFB4E75"/>
    <w:rsid w:val="4F11272B"/>
    <w:rsid w:val="4F2F47E9"/>
    <w:rsid w:val="4F5C7BC8"/>
    <w:rsid w:val="4F95631A"/>
    <w:rsid w:val="503932A1"/>
    <w:rsid w:val="510D22FC"/>
    <w:rsid w:val="51C25036"/>
    <w:rsid w:val="5243570B"/>
    <w:rsid w:val="525E7AE8"/>
    <w:rsid w:val="53364766"/>
    <w:rsid w:val="53632B61"/>
    <w:rsid w:val="538818A6"/>
    <w:rsid w:val="53A32F56"/>
    <w:rsid w:val="54974361"/>
    <w:rsid w:val="55231E61"/>
    <w:rsid w:val="55E83B43"/>
    <w:rsid w:val="566F2BF8"/>
    <w:rsid w:val="572B77F8"/>
    <w:rsid w:val="577B7AE2"/>
    <w:rsid w:val="58E6403D"/>
    <w:rsid w:val="59AE5830"/>
    <w:rsid w:val="5AF067D6"/>
    <w:rsid w:val="5C80120B"/>
    <w:rsid w:val="5C992FBD"/>
    <w:rsid w:val="5D1C099F"/>
    <w:rsid w:val="5E594303"/>
    <w:rsid w:val="5ED03E9D"/>
    <w:rsid w:val="60613598"/>
    <w:rsid w:val="60D263E2"/>
    <w:rsid w:val="611E599C"/>
    <w:rsid w:val="61387C21"/>
    <w:rsid w:val="62724DE1"/>
    <w:rsid w:val="62B3439F"/>
    <w:rsid w:val="64AB25A5"/>
    <w:rsid w:val="64D3375B"/>
    <w:rsid w:val="64D90FE5"/>
    <w:rsid w:val="64FE76EA"/>
    <w:rsid w:val="65377345"/>
    <w:rsid w:val="663D7A79"/>
    <w:rsid w:val="664877E1"/>
    <w:rsid w:val="67294FEC"/>
    <w:rsid w:val="6A5E142E"/>
    <w:rsid w:val="6D935D0C"/>
    <w:rsid w:val="6E8577EF"/>
    <w:rsid w:val="6EFC6F90"/>
    <w:rsid w:val="6FFD3603"/>
    <w:rsid w:val="70B3417F"/>
    <w:rsid w:val="71044AAD"/>
    <w:rsid w:val="71C61BB7"/>
    <w:rsid w:val="71F25086"/>
    <w:rsid w:val="7298684C"/>
    <w:rsid w:val="73917311"/>
    <w:rsid w:val="748D3600"/>
    <w:rsid w:val="74F4564D"/>
    <w:rsid w:val="75D1551E"/>
    <w:rsid w:val="76675694"/>
    <w:rsid w:val="77D56B93"/>
    <w:rsid w:val="77E904D8"/>
    <w:rsid w:val="77F7F08C"/>
    <w:rsid w:val="79FC27AE"/>
    <w:rsid w:val="7AA77778"/>
    <w:rsid w:val="7BE562F0"/>
    <w:rsid w:val="7BF025DA"/>
    <w:rsid w:val="7C171F28"/>
    <w:rsid w:val="7C1752E2"/>
    <w:rsid w:val="7C271130"/>
    <w:rsid w:val="7CFF1588"/>
    <w:rsid w:val="7E724FEE"/>
    <w:rsid w:val="7FF9564B"/>
    <w:rsid w:val="8FDF3915"/>
    <w:rsid w:val="D7BDABBA"/>
    <w:rsid w:val="DBEE8A6F"/>
    <w:rsid w:val="EBD67303"/>
    <w:rsid w:val="F777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2025-04-01T18:28:00Z</dcterms:created>
  <dc:creator>user</dc:creator>
  <cp:lastModifiedBy>user</cp:lastModifiedBy>
  <dcterms:modified xsi:type="dcterms:W3CDTF">2025-05-27T01:38:56Z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114D1A3220C1F70B5C33FE67C4354511</vt:lpwstr>
  </property>
</Properties>
</file>