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5963BD">
      <w:pPr>
        <w:keepNext w:val="0"/>
        <w:keepLines w:val="0"/>
        <w:pageBreakBefore w:val="0"/>
        <w:widowControl w:val="0"/>
        <w:kinsoku/>
        <w:wordWrap/>
        <w:overflowPunct/>
        <w:topLinePunct w:val="0"/>
        <w:autoSpaceDE/>
        <w:autoSpaceDN/>
        <w:bidi w:val="0"/>
        <w:adjustRightInd/>
        <w:snapToGrid/>
        <w:ind w:right="0" w:rightChars="0"/>
        <w:jc w:val="center"/>
        <w:textAlignment w:val="auto"/>
        <w:rPr>
          <w:rFonts w:ascii="Monotype Corsiva" w:hAnsi="Monotype Corsiva" w:eastAsia="方正舒体"/>
          <w:b/>
          <w:sz w:val="36"/>
          <w:szCs w:val="36"/>
        </w:rPr>
      </w:pPr>
      <w:r>
        <w:rPr>
          <w:rFonts w:hint="eastAsia" w:ascii="华文行楷" w:eastAsia="华文行楷"/>
          <w:color w:val="FF0000"/>
          <w:spacing w:val="-60"/>
          <w:sz w:val="180"/>
          <w:szCs w:val="180"/>
        </w:rPr>
        <w:t>上海国资</w:t>
      </w:r>
    </w:p>
    <w:p w14:paraId="4E9B203B">
      <w:pPr>
        <w:keepNext w:val="0"/>
        <w:keepLines w:val="0"/>
        <w:pageBreakBefore w:val="0"/>
        <w:widowControl w:val="0"/>
        <w:kinsoku/>
        <w:wordWrap/>
        <w:overflowPunct/>
        <w:topLinePunct w:val="0"/>
        <w:autoSpaceDE/>
        <w:autoSpaceDN/>
        <w:bidi w:val="0"/>
        <w:adjustRightInd/>
        <w:snapToGrid/>
        <w:spacing w:line="480" w:lineRule="exact"/>
        <w:ind w:right="-101" w:rightChars="-42"/>
        <w:jc w:val="center"/>
        <w:textAlignment w:val="auto"/>
        <w:rPr>
          <w:b/>
          <w:sz w:val="32"/>
        </w:rPr>
      </w:pPr>
      <w:r>
        <w:rPr>
          <w:rFonts w:hint="eastAsia"/>
          <w:b/>
          <w:sz w:val="32"/>
        </w:rPr>
        <w:t>第</w:t>
      </w:r>
      <w:r>
        <w:rPr>
          <w:rFonts w:hint="eastAsia" w:ascii="Times New Roman" w:hAnsi="Times New Roman" w:cs="Times New Roman"/>
          <w:b w:val="0"/>
          <w:bCs/>
          <w:sz w:val="32"/>
          <w:lang w:val="en-US" w:eastAsia="zh-CN"/>
        </w:rPr>
        <w:t>15</w:t>
      </w:r>
      <w:r>
        <w:rPr>
          <w:rFonts w:hint="eastAsia"/>
          <w:b/>
          <w:sz w:val="32"/>
        </w:rPr>
        <w:t>期</w:t>
      </w:r>
    </w:p>
    <w:p w14:paraId="7A780EFE">
      <w:pPr>
        <w:keepNext w:val="0"/>
        <w:keepLines w:val="0"/>
        <w:pageBreakBefore w:val="0"/>
        <w:widowControl w:val="0"/>
        <w:kinsoku/>
        <w:wordWrap/>
        <w:overflowPunct/>
        <w:topLinePunct w:val="0"/>
        <w:autoSpaceDE/>
        <w:autoSpaceDN/>
        <w:bidi w:val="0"/>
        <w:adjustRightInd/>
        <w:snapToGrid/>
        <w:spacing w:line="480" w:lineRule="exact"/>
        <w:ind w:right="-101" w:rightChars="-42"/>
        <w:jc w:val="left"/>
        <w:textAlignment w:val="auto"/>
        <w:rPr>
          <w:b/>
          <w:sz w:val="32"/>
        </w:rPr>
      </w:pPr>
    </w:p>
    <w:p w14:paraId="3939E4C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exact"/>
        <w:ind w:right="-101" w:rightChars="-42"/>
        <w:jc w:val="both"/>
        <w:textAlignment w:val="auto"/>
        <w:rPr>
          <w:rFonts w:hint="eastAsia" w:ascii="Times New Roman" w:hAnsi="Times New Roman" w:eastAsia="仿宋_GB2312" w:cs="仿宋_GB2312"/>
          <w:sz w:val="32"/>
          <w:szCs w:val="32"/>
          <w:lang w:val="en-US" w:eastAsia="zh-CN"/>
        </w:rPr>
      </w:pPr>
      <w:r>
        <w:rPr>
          <w:rFonts w:hint="default" w:ascii="Times New Roman" w:hAnsi="Times New Roman" w:eastAsia="楷体_GB2312" w:cs="Times New Roman"/>
          <w:spacing w:val="-14"/>
          <w:sz w:val="28"/>
          <w:szCs w:val="24"/>
          <w:u w:val="single" w:color="FF0000"/>
          <w:lang w:val="en-US" w:eastAsia="zh-CN"/>
        </w:rPr>
        <w:t>上海市国有资产监督管理委员会办公室（党委办公室）     202</w:t>
      </w:r>
      <w:r>
        <w:rPr>
          <w:rFonts w:hint="eastAsia" w:ascii="Times New Roman" w:hAnsi="Times New Roman" w:eastAsia="楷体_GB2312" w:cs="Times New Roman"/>
          <w:spacing w:val="-14"/>
          <w:sz w:val="28"/>
          <w:szCs w:val="24"/>
          <w:u w:val="single" w:color="FF0000"/>
          <w:lang w:val="en-US" w:eastAsia="zh-CN"/>
        </w:rPr>
        <w:t>6</w:t>
      </w:r>
      <w:r>
        <w:rPr>
          <w:rFonts w:hint="default" w:ascii="Times New Roman" w:hAnsi="Times New Roman" w:eastAsia="楷体_GB2312" w:cs="Times New Roman"/>
          <w:spacing w:val="-14"/>
          <w:sz w:val="28"/>
          <w:szCs w:val="24"/>
          <w:u w:val="single" w:color="FF0000"/>
          <w:lang w:val="en-US" w:eastAsia="zh-CN"/>
        </w:rPr>
        <w:t>年</w:t>
      </w:r>
      <w:r>
        <w:rPr>
          <w:rFonts w:hint="eastAsia" w:ascii="Times New Roman" w:hAnsi="Times New Roman" w:eastAsia="楷体_GB2312" w:cs="Times New Roman"/>
          <w:spacing w:val="-14"/>
          <w:sz w:val="28"/>
          <w:szCs w:val="24"/>
          <w:u w:val="single" w:color="FF0000"/>
          <w:lang w:val="en-US" w:eastAsia="zh-CN"/>
        </w:rPr>
        <w:t>7</w:t>
      </w:r>
      <w:r>
        <w:rPr>
          <w:rFonts w:hint="default" w:ascii="Times New Roman" w:hAnsi="Times New Roman" w:eastAsia="楷体_GB2312" w:cs="Times New Roman"/>
          <w:spacing w:val="-14"/>
          <w:sz w:val="28"/>
          <w:szCs w:val="24"/>
          <w:u w:val="single" w:color="FF0000"/>
          <w:lang w:val="en-US" w:eastAsia="zh-CN"/>
        </w:rPr>
        <w:t>月</w:t>
      </w:r>
      <w:r>
        <w:rPr>
          <w:rFonts w:hint="eastAsia" w:ascii="Times New Roman" w:hAnsi="Times New Roman" w:eastAsia="楷体_GB2312" w:cs="Times New Roman"/>
          <w:spacing w:val="-14"/>
          <w:sz w:val="28"/>
          <w:szCs w:val="24"/>
          <w:u w:val="single" w:color="FF0000"/>
          <w:lang w:val="en-US" w:eastAsia="zh-CN"/>
        </w:rPr>
        <w:t xml:space="preserve">  </w:t>
      </w:r>
      <w:r>
        <w:rPr>
          <w:rFonts w:hint="default" w:ascii="Times New Roman" w:hAnsi="Times New Roman" w:eastAsia="楷体_GB2312" w:cs="Times New Roman"/>
          <w:spacing w:val="-14"/>
          <w:sz w:val="28"/>
          <w:szCs w:val="24"/>
          <w:u w:val="single" w:color="FF0000"/>
          <w:lang w:val="en-US" w:eastAsia="zh-CN"/>
        </w:rPr>
        <w:t>日</w:t>
      </w:r>
    </w:p>
    <w:p w14:paraId="404CF236">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right="0" w:rightChars="0" w:firstLine="0" w:firstLineChars="0"/>
        <w:jc w:val="left"/>
        <w:textAlignment w:val="auto"/>
        <w:rPr>
          <w:rFonts w:hint="default" w:ascii="Times New Roman" w:hAnsi="Times New Roman" w:eastAsia="仿宋_GB2312" w:cs="仿宋_GB2312"/>
          <w:sz w:val="32"/>
          <w:szCs w:val="32"/>
          <w:lang w:val="en-US" w:eastAsia="zh-CN"/>
        </w:rPr>
      </w:pPr>
      <w:r>
        <w:rPr>
          <w:rFonts w:hint="eastAsia" w:ascii="楷体_GB2312" w:hAnsi="楷体_GB2312" w:eastAsia="楷体_GB2312" w:cs="楷体_GB2312"/>
          <w:b/>
          <w:bCs w:val="0"/>
          <w:i w:val="0"/>
          <w:caps w:val="0"/>
          <w:spacing w:val="-6"/>
          <w:kern w:val="44"/>
          <w:sz w:val="32"/>
          <w:szCs w:val="32"/>
          <w:shd w:val="clear" w:fill="FFFFFF"/>
          <w:lang w:val="en-US" w:eastAsia="zh-CN" w:bidi="ar"/>
        </w:rPr>
        <w:t>金融工作</w:t>
      </w:r>
    </w:p>
    <w:p w14:paraId="13C9A0A1">
      <w:pPr>
        <w:keepNext w:val="0"/>
        <w:keepLines w:val="0"/>
        <w:pageBreakBefore w:val="0"/>
        <w:widowControl/>
        <w:kinsoku/>
        <w:wordWrap/>
        <w:overflowPunct/>
        <w:topLinePunct w:val="0"/>
        <w:autoSpaceDE/>
        <w:autoSpaceDN/>
        <w:bidi w:val="0"/>
        <w:adjustRightInd/>
        <w:snapToGrid/>
        <w:spacing w:line="600" w:lineRule="exact"/>
        <w:ind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上海银行抢滩北交所首批产业债</w:t>
      </w:r>
    </w:p>
    <w:p w14:paraId="17674344">
      <w:pPr>
        <w:keepNext w:val="0"/>
        <w:keepLines w:val="0"/>
        <w:pageBreakBefore w:val="0"/>
        <w:widowControl/>
        <w:kinsoku/>
        <w:wordWrap/>
        <w:overflowPunct/>
        <w:topLinePunct w:val="0"/>
        <w:autoSpaceDE/>
        <w:autoSpaceDN/>
        <w:bidi w:val="0"/>
        <w:adjustRightInd/>
        <w:snapToGrid/>
        <w:spacing w:line="600" w:lineRule="exact"/>
        <w:ind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拥抱科创与民营经济新机遇</w:t>
      </w:r>
    </w:p>
    <w:p w14:paraId="1920F180">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近日，上海银行成功参与北京证券交易所首批产业债投资，落地业内首单北交所产业类私募债，成为上海银行拓展新型资本市场业务、拓宽中小科创企业融资渠道的重要标志性成果。</w:t>
      </w:r>
    </w:p>
    <w:p w14:paraId="564AB54A">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bCs/>
          <w:sz w:val="32"/>
          <w:szCs w:val="32"/>
          <w:lang w:val="en-US" w:eastAsia="zh-CN"/>
        </w:rPr>
        <w:t>依托北交所创新定位，拓宽实体服务渠道。</w:t>
      </w:r>
      <w:r>
        <w:rPr>
          <w:rFonts w:hint="eastAsia" w:ascii="Times New Roman" w:hAnsi="Times New Roman" w:eastAsia="仿宋_GB2312" w:cs="仿宋_GB2312"/>
          <w:b w:val="0"/>
          <w:bCs w:val="0"/>
          <w:sz w:val="32"/>
          <w:szCs w:val="32"/>
          <w:lang w:val="en-US" w:eastAsia="zh-CN"/>
        </w:rPr>
        <w:t>北交所立足资本市场差异化发展布局，聚焦创新型中小企业、专精特新企业发展需求，重点服务科技创新、优质民营及重点产业企业，与上交所、深交所资本市场服务体系形成有效互补。2026年5月，北京证券交易所正式开启非公开发行产业私募债业务受理，推出首批北交所产业债，专门面向北交所上市专精特新企业开辟直接融资通道。上海银行紧抓市场创新发展机遇，对接北交所业务体系，有效触达以往债券直接融资难以覆盖的中小科创、民营企业群体。</w:t>
      </w:r>
    </w:p>
    <w:p w14:paraId="6ED438F1">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仿宋_GB2312"/>
          <w:b w:val="0"/>
          <w:bCs w:val="0"/>
          <w:sz w:val="36"/>
          <w:szCs w:val="36"/>
          <w:lang w:val="en-US" w:eastAsia="zh-CN"/>
        </w:rPr>
      </w:pPr>
      <w:r>
        <w:rPr>
          <w:rFonts w:hint="eastAsia" w:ascii="Times New Roman" w:hAnsi="Times New Roman" w:eastAsia="仿宋_GB2312" w:cs="仿宋_GB2312"/>
          <w:b/>
          <w:bCs/>
          <w:sz w:val="32"/>
          <w:szCs w:val="32"/>
          <w:lang w:val="en-US" w:eastAsia="zh-CN"/>
        </w:rPr>
        <w:t>联通国家级小巨人企业，深挖产业金融服务潜力。</w:t>
      </w:r>
      <w:r>
        <w:rPr>
          <w:rFonts w:hint="eastAsia" w:ascii="Times New Roman" w:hAnsi="Times New Roman" w:eastAsia="仿宋_GB2312" w:cs="仿宋_GB2312"/>
          <w:b w:val="0"/>
          <w:bCs w:val="0"/>
          <w:sz w:val="32"/>
          <w:szCs w:val="32"/>
          <w:lang w:val="en-US" w:eastAsia="zh-CN"/>
        </w:rPr>
        <w:t>本次上海银行投资服务的两家北交所上市企业，均为苏州地区国家级专精特新“小巨人”企业，两户企业深耕高端制造、新能源核心赛道。其中，昆山鸿仕达专注研发生产高端智能自动化产线整体解决方案，产品广泛应用于消费电子、新能源、泛半导体等核心领域。苏州骏创科技是高性能塑料领域全球化制造标杆企业，在新能源汽车、储能、动力电池等领域具备领先的技术实力。通过精准的债券资金投放，上海银行为两户优质专精特新企业的核心技术研发、生产线智能升级、产能规模扩容提供了坚实的资金保障。</w:t>
      </w:r>
    </w:p>
    <w:p w14:paraId="5E8F372F">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截至目前，上海银行信用债投资规模稳步增长，总量已突破2000亿元。下一步，上海银行将持续深耕多层次资本市场，不断壮大信用债服务体系、创新金融服务模式，聚焦专精特新、科技创新、民营小微企业等重点领域，以高质量金融服务助力产业转型升级、实体经济提质增效。（上海银行）</w:t>
      </w:r>
    </w:p>
    <w:p w14:paraId="6B6492C4">
      <w:pPr>
        <w:keepNext w:val="0"/>
        <w:keepLines w:val="0"/>
        <w:pageBreakBefore w:val="0"/>
        <w:widowControl/>
        <w:kinsoku/>
        <w:wordWrap/>
        <w:overflowPunct/>
        <w:topLinePunct w:val="0"/>
        <w:autoSpaceDE/>
        <w:autoSpaceDN/>
        <w:bidi w:val="0"/>
        <w:adjustRightInd/>
        <w:snapToGrid/>
        <w:spacing w:line="600" w:lineRule="exact"/>
        <w:ind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p>
    <w:p w14:paraId="703A2A87">
      <w:pPr>
        <w:keepNext w:val="0"/>
        <w:keepLines w:val="0"/>
        <w:pageBreakBefore w:val="0"/>
        <w:widowControl/>
        <w:kinsoku/>
        <w:wordWrap/>
        <w:overflowPunct/>
        <w:topLinePunct w:val="0"/>
        <w:autoSpaceDE/>
        <w:autoSpaceDN/>
        <w:bidi w:val="0"/>
        <w:adjustRightInd/>
        <w:snapToGrid/>
        <w:spacing w:line="600" w:lineRule="exact"/>
        <w:ind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上海国资集成电路产业整合新标杆</w:t>
      </w:r>
    </w:p>
    <w:p w14:paraId="7B3D8D5B">
      <w:pPr>
        <w:keepNext w:val="0"/>
        <w:keepLines w:val="0"/>
        <w:pageBreakBefore w:val="0"/>
        <w:widowControl/>
        <w:kinsoku/>
        <w:wordWrap/>
        <w:overflowPunct/>
        <w:topLinePunct w:val="0"/>
        <w:autoSpaceDE/>
        <w:autoSpaceDN/>
        <w:bidi w:val="0"/>
        <w:adjustRightInd/>
        <w:snapToGrid/>
        <w:spacing w:line="600" w:lineRule="exact"/>
        <w:ind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国泰海通助力华虹宏力收购华力微</w:t>
      </w:r>
    </w:p>
    <w:p w14:paraId="302DED56">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近日，华虹宏力半导体有限公司（以下简称“华虹宏力”）以发行股份方式收购上海华力微电子有限公司（以下简称“华力微”）97.4988%股权的交易，正式获得中国证监会同意注册批复。本次标的资产交易对价为82.68亿元，是国内集成电路领域的标志性整合案例之一，国泰海通担任本次交易的独立财务顾问。</w:t>
      </w:r>
    </w:p>
    <w:p w14:paraId="3EA556ED">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本次并购交易中，国泰海通担任独立财务顾问，凭借对半导体行业的深刻洞察及丰富经验，在方案设计、估值定价、合规论证及监管沟通等环节提供全链条坚实保障。面对华虹宏力“A+H”两地上市的复杂架构，项目团队精准平衡跨境法律适用与信息披露衔接，为交易平稳推进奠定基础。本次交易不仅是国内集成电路领域的标志性整合案例，也是国泰海通服务硬科技企业、践行金融服务实体经济使命的又一力作。</w:t>
      </w:r>
    </w:p>
    <w:p w14:paraId="429ECA88">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在晶圆制造领域，先进逻辑工艺与特色工艺路线各有侧重。华虹宏力聚焦于特色工艺，目前已覆盖至65/55nm、40nm；华力微聚焦于65/55nm及40nm逻辑工艺，并进一步开发特色工艺。本次交易是华虹宏力进一步深化特色工艺、实现产业整合的关键布局。交易完成后，华虹宏力将统筹整合双方工艺技术平台、优质客户资源与上下游供应链体系，实现差异化生产需求的全覆盖。</w:t>
      </w:r>
    </w:p>
    <w:p w14:paraId="4119E84F">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未来，国泰海通将持续深耕产业并购重组领域，以专业金融服务赋能更多科技企业实现跨越式发展，助力中国集成电路产业自立自强。（国泰海通）</w:t>
      </w:r>
    </w:p>
    <w:p w14:paraId="37DDA3DC">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p>
    <w:p w14:paraId="1E128EE9">
      <w:pPr>
        <w:keepNext w:val="0"/>
        <w:keepLines w:val="0"/>
        <w:pageBreakBefore w:val="0"/>
        <w:widowControl/>
        <w:kinsoku/>
        <w:wordWrap/>
        <w:overflowPunct/>
        <w:topLinePunct w:val="0"/>
        <w:autoSpaceDE/>
        <w:autoSpaceDN/>
        <w:bidi w:val="0"/>
        <w:adjustRightInd/>
        <w:snapToGrid/>
        <w:spacing w:line="600" w:lineRule="exact"/>
        <w:ind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上海农商银行助力全球首款实体瘤CAR-T</w:t>
      </w:r>
    </w:p>
    <w:p w14:paraId="6E4C05AF">
      <w:pPr>
        <w:keepNext w:val="0"/>
        <w:keepLines w:val="0"/>
        <w:pageBreakBefore w:val="0"/>
        <w:widowControl/>
        <w:kinsoku/>
        <w:wordWrap/>
        <w:overflowPunct/>
        <w:topLinePunct w:val="0"/>
        <w:autoSpaceDE/>
        <w:autoSpaceDN/>
        <w:bidi w:val="0"/>
        <w:adjustRightInd/>
        <w:snapToGrid/>
        <w:spacing w:line="600" w:lineRule="exact"/>
        <w:ind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产品获批上市</w:t>
      </w:r>
    </w:p>
    <w:p w14:paraId="68FEEB04">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近日，科济药业自主研发的</w:t>
      </w:r>
      <w:r>
        <w:rPr>
          <w:rFonts w:hint="eastAsia" w:cs="Times New Roman"/>
          <w:sz w:val="32"/>
          <w:szCs w:val="32"/>
          <w:lang w:val="en-US" w:eastAsia="zh-CN"/>
        </w:rPr>
        <w:t>“</w:t>
      </w:r>
      <w:r>
        <w:rPr>
          <w:rFonts w:hint="default" w:ascii="Times New Roman" w:hAnsi="Times New Roman" w:eastAsia="仿宋_GB2312" w:cs="Times New Roman"/>
          <w:sz w:val="32"/>
          <w:szCs w:val="32"/>
          <w:lang w:val="en-US" w:eastAsia="zh-CN"/>
        </w:rPr>
        <w:t>恺力美</w:t>
      </w:r>
      <w:r>
        <w:rPr>
          <w:rFonts w:hint="eastAsia" w:cs="Times New Roman"/>
          <w:sz w:val="32"/>
          <w:szCs w:val="32"/>
          <w:lang w:val="en-US" w:eastAsia="zh-CN"/>
        </w:rPr>
        <w:t>”</w:t>
      </w:r>
      <w:r>
        <w:rPr>
          <w:rFonts w:hint="default" w:ascii="Times New Roman" w:hAnsi="Times New Roman" w:eastAsia="仿宋_GB2312" w:cs="Times New Roman"/>
          <w:sz w:val="32"/>
          <w:szCs w:val="32"/>
          <w:lang w:val="en-US" w:eastAsia="zh-CN"/>
        </w:rPr>
        <w:t>获国家药监局批准上市，成为全球首款获批用于实体瘤的CAR-T细胞治疗产品，标志着中国在细胞免疫治疗领域打破海外技术垄断</w:t>
      </w:r>
      <w:r>
        <w:rPr>
          <w:rFonts w:hint="eastAsia" w:cs="Times New Roman"/>
          <w:sz w:val="32"/>
          <w:szCs w:val="32"/>
          <w:lang w:val="en-US" w:eastAsia="zh-CN"/>
        </w:rPr>
        <w:t>，</w:t>
      </w:r>
      <w:r>
        <w:rPr>
          <w:rFonts w:hint="default" w:ascii="Times New Roman" w:hAnsi="Times New Roman" w:eastAsia="仿宋_GB2312" w:cs="Times New Roman"/>
          <w:sz w:val="32"/>
          <w:szCs w:val="32"/>
          <w:lang w:val="en-US" w:eastAsia="zh-CN"/>
        </w:rPr>
        <w:t>上海农商银行以全周期金融服务支持该产品从实验室到生产线。</w:t>
      </w:r>
    </w:p>
    <w:p w14:paraId="5BBF6F9F">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2020年CAR-T疗法处于研发关键阶段，在企业复工复产亟需资金支持时，上海农商银行主动上门服务，以产业视角研判企业价值、定制专属方案，开辟绿色通道为企业及时提供1000万元短期流贷，用于实验试剂采购、研发支出、专利申报等，保障研发推进。2021年，CAR-T疗法进入关键临床试验阶段，上海农商银行创新</w:t>
      </w:r>
      <w:r>
        <w:rPr>
          <w:rFonts w:hint="eastAsia" w:cs="Times New Roman"/>
          <w:sz w:val="32"/>
          <w:szCs w:val="32"/>
          <w:lang w:val="en-US" w:eastAsia="zh-CN"/>
        </w:rPr>
        <w:t>“</w:t>
      </w:r>
      <w:r>
        <w:rPr>
          <w:rFonts w:hint="default" w:ascii="Times New Roman" w:hAnsi="Times New Roman" w:eastAsia="仿宋_GB2312" w:cs="Times New Roman"/>
          <w:sz w:val="32"/>
          <w:szCs w:val="32"/>
          <w:lang w:val="en-US" w:eastAsia="zh-CN"/>
        </w:rPr>
        <w:t>临床贷</w:t>
      </w:r>
      <w:r>
        <w:rPr>
          <w:rFonts w:hint="eastAsia" w:cs="Times New Roman"/>
          <w:sz w:val="32"/>
          <w:szCs w:val="32"/>
          <w:lang w:val="en-US" w:eastAsia="zh-CN"/>
        </w:rPr>
        <w:t>”</w:t>
      </w:r>
      <w:r>
        <w:rPr>
          <w:rFonts w:hint="default" w:ascii="Times New Roman" w:hAnsi="Times New Roman" w:eastAsia="仿宋_GB2312" w:cs="Times New Roman"/>
          <w:sz w:val="32"/>
          <w:szCs w:val="32"/>
          <w:lang w:val="en-US" w:eastAsia="zh-CN"/>
        </w:rPr>
        <w:t>为其提供5000万元授信，精准匹配其资金刚性需求。2026年，为配合</w:t>
      </w:r>
      <w:r>
        <w:rPr>
          <w:rFonts w:hint="eastAsia" w:cs="Times New Roman"/>
          <w:sz w:val="32"/>
          <w:szCs w:val="32"/>
          <w:lang w:val="en-US" w:eastAsia="zh-CN"/>
        </w:rPr>
        <w:t>“</w:t>
      </w:r>
      <w:r>
        <w:rPr>
          <w:rFonts w:hint="default" w:ascii="Times New Roman" w:hAnsi="Times New Roman" w:eastAsia="仿宋_GB2312" w:cs="Times New Roman"/>
          <w:sz w:val="32"/>
          <w:szCs w:val="32"/>
          <w:lang w:val="en-US" w:eastAsia="zh-CN"/>
        </w:rPr>
        <w:t>恺力美</w:t>
      </w:r>
      <w:r>
        <w:rPr>
          <w:rFonts w:hint="eastAsia" w:cs="Times New Roman"/>
          <w:sz w:val="32"/>
          <w:szCs w:val="32"/>
          <w:lang w:val="en-US" w:eastAsia="zh-CN"/>
        </w:rPr>
        <w:t>”</w:t>
      </w:r>
      <w:r>
        <w:rPr>
          <w:rFonts w:hint="default" w:ascii="Times New Roman" w:hAnsi="Times New Roman" w:eastAsia="仿宋_GB2312" w:cs="Times New Roman"/>
          <w:sz w:val="32"/>
          <w:szCs w:val="32"/>
          <w:lang w:val="en-US" w:eastAsia="zh-CN"/>
        </w:rPr>
        <w:t>商业化生产，提供2.96亿元固定资产贷款，支持企业改建高净度GMP生产实验室，并在基础金融服务之上，叠加跨境金融、财务管理等多元服务。</w:t>
      </w:r>
    </w:p>
    <w:p w14:paraId="192A3261">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sz w:val="32"/>
          <w:szCs w:val="32"/>
          <w:lang w:val="en-US" w:eastAsia="zh-CN"/>
        </w:rPr>
      </w:pPr>
      <w:r>
        <w:rPr>
          <w:rFonts w:hint="default" w:ascii="Times New Roman" w:hAnsi="Times New Roman" w:eastAsia="仿宋_GB2312" w:cs="Times New Roman"/>
          <w:sz w:val="32"/>
          <w:szCs w:val="32"/>
          <w:lang w:val="en-US" w:eastAsia="zh-CN"/>
        </w:rPr>
        <w:t>助力CAR-T上市是上海农商银行支持生物医药产业的典型案例。针对生物医药企业普遍面临的研发不确定性高、专业技术估值难、无经营性现金流、产品上市风险大、缺乏传统抵押物五大融资痛点，通过创新</w:t>
      </w:r>
      <w:r>
        <w:rPr>
          <w:rFonts w:hint="eastAsia" w:cs="Times New Roman"/>
          <w:sz w:val="32"/>
          <w:szCs w:val="32"/>
          <w:lang w:val="en-US" w:eastAsia="zh-CN"/>
        </w:rPr>
        <w:t>“</w:t>
      </w:r>
      <w:r>
        <w:rPr>
          <w:rFonts w:hint="default" w:ascii="Times New Roman" w:hAnsi="Times New Roman" w:eastAsia="仿宋_GB2312" w:cs="Times New Roman"/>
          <w:sz w:val="32"/>
          <w:szCs w:val="32"/>
          <w:lang w:val="en-US" w:eastAsia="zh-CN"/>
        </w:rPr>
        <w:t>捐赠+</w:t>
      </w:r>
      <w:r>
        <w:rPr>
          <w:rFonts w:hint="eastAsia" w:cs="Times New Roman"/>
          <w:sz w:val="32"/>
          <w:szCs w:val="32"/>
          <w:lang w:val="en-US" w:eastAsia="zh-CN"/>
        </w:rPr>
        <w:t>”</w:t>
      </w:r>
      <w:r>
        <w:rPr>
          <w:rFonts w:hint="default" w:ascii="Times New Roman" w:hAnsi="Times New Roman" w:eastAsia="仿宋_GB2312" w:cs="Times New Roman"/>
          <w:sz w:val="32"/>
          <w:szCs w:val="32"/>
          <w:lang w:val="en-US" w:eastAsia="zh-CN"/>
        </w:rPr>
        <w:t>早期孵化、</w:t>
      </w:r>
      <w:r>
        <w:rPr>
          <w:rFonts w:hint="eastAsia" w:cs="Times New Roman"/>
          <w:sz w:val="32"/>
          <w:szCs w:val="32"/>
          <w:lang w:val="en-US" w:eastAsia="zh-CN"/>
        </w:rPr>
        <w:t>“</w:t>
      </w:r>
      <w:r>
        <w:rPr>
          <w:rFonts w:hint="default" w:ascii="Times New Roman" w:hAnsi="Times New Roman" w:eastAsia="仿宋_GB2312" w:cs="Times New Roman"/>
          <w:sz w:val="32"/>
          <w:szCs w:val="32"/>
          <w:lang w:val="en-US" w:eastAsia="zh-CN"/>
        </w:rPr>
        <w:t>临床贷</w:t>
      </w:r>
      <w:r>
        <w:rPr>
          <w:rFonts w:hint="eastAsia" w:cs="Times New Roman"/>
          <w:sz w:val="32"/>
          <w:szCs w:val="32"/>
          <w:lang w:val="en-US" w:eastAsia="zh-CN"/>
        </w:rPr>
        <w:t>”</w:t>
      </w:r>
      <w:r>
        <w:rPr>
          <w:rFonts w:hint="default" w:ascii="Times New Roman" w:hAnsi="Times New Roman" w:eastAsia="仿宋_GB2312" w:cs="Times New Roman"/>
          <w:sz w:val="32"/>
          <w:szCs w:val="32"/>
          <w:lang w:val="en-US" w:eastAsia="zh-CN"/>
        </w:rPr>
        <w:t>中期赋能、</w:t>
      </w:r>
      <w:r>
        <w:rPr>
          <w:rFonts w:hint="eastAsia" w:cs="Times New Roman"/>
          <w:sz w:val="32"/>
          <w:szCs w:val="32"/>
          <w:lang w:val="en-US" w:eastAsia="zh-CN"/>
        </w:rPr>
        <w:t>“</w:t>
      </w:r>
      <w:r>
        <w:rPr>
          <w:rFonts w:hint="default" w:ascii="Times New Roman" w:hAnsi="Times New Roman" w:eastAsia="仿宋_GB2312" w:cs="Times New Roman"/>
          <w:sz w:val="32"/>
          <w:szCs w:val="32"/>
          <w:lang w:val="en-US" w:eastAsia="zh-CN"/>
        </w:rPr>
        <w:t>license贷</w:t>
      </w:r>
      <w:r>
        <w:rPr>
          <w:rFonts w:hint="eastAsia" w:cs="Times New Roman"/>
          <w:sz w:val="32"/>
          <w:szCs w:val="32"/>
          <w:lang w:val="en-US" w:eastAsia="zh-CN"/>
        </w:rPr>
        <w:t>”</w:t>
      </w:r>
      <w:r>
        <w:rPr>
          <w:rFonts w:hint="default" w:ascii="Times New Roman" w:hAnsi="Times New Roman" w:eastAsia="仿宋_GB2312" w:cs="Times New Roman"/>
          <w:sz w:val="32"/>
          <w:szCs w:val="32"/>
          <w:lang w:val="en-US" w:eastAsia="zh-CN"/>
        </w:rPr>
        <w:t>后期加速等模式，提供</w:t>
      </w:r>
      <w:r>
        <w:rPr>
          <w:rFonts w:hint="eastAsia" w:cs="Times New Roman"/>
          <w:sz w:val="32"/>
          <w:szCs w:val="32"/>
          <w:lang w:val="en-US" w:eastAsia="zh-CN"/>
        </w:rPr>
        <w:t>“</w:t>
      </w:r>
      <w:r>
        <w:rPr>
          <w:rFonts w:hint="default" w:ascii="Times New Roman" w:hAnsi="Times New Roman" w:eastAsia="仿宋_GB2312" w:cs="Times New Roman"/>
          <w:sz w:val="32"/>
          <w:szCs w:val="32"/>
          <w:lang w:val="en-US" w:eastAsia="zh-CN"/>
        </w:rPr>
        <w:t>科研萌芽</w:t>
      </w:r>
      <w:r>
        <w:rPr>
          <w:rFonts w:hint="eastAsia" w:cs="Times New Roman"/>
          <w:sz w:val="32"/>
          <w:szCs w:val="32"/>
          <w:lang w:val="en-US" w:eastAsia="zh-CN"/>
        </w:rPr>
        <w:t>——</w:t>
      </w:r>
      <w:r>
        <w:rPr>
          <w:rFonts w:hint="default" w:ascii="Times New Roman" w:hAnsi="Times New Roman" w:eastAsia="仿宋_GB2312" w:cs="Times New Roman"/>
          <w:sz w:val="32"/>
          <w:szCs w:val="32"/>
          <w:lang w:val="en-US" w:eastAsia="zh-CN"/>
        </w:rPr>
        <w:t>临床研发—商业化落地</w:t>
      </w:r>
      <w:r>
        <w:rPr>
          <w:rFonts w:hint="eastAsia" w:cs="Times New Roman"/>
          <w:sz w:val="32"/>
          <w:szCs w:val="32"/>
          <w:lang w:val="en-US" w:eastAsia="zh-CN"/>
        </w:rPr>
        <w:t>”</w:t>
      </w:r>
      <w:r>
        <w:rPr>
          <w:rFonts w:hint="default" w:ascii="Times New Roman" w:hAnsi="Times New Roman" w:eastAsia="仿宋_GB2312" w:cs="Times New Roman"/>
          <w:sz w:val="32"/>
          <w:szCs w:val="32"/>
          <w:lang w:val="en-US" w:eastAsia="zh-CN"/>
        </w:rPr>
        <w:t>全链条服务。金融服务之外，还为企业提供政策对接、投融资撮合、成果转化、上市辅导等多维非金融赋能，助力上海打造世界级生物医药产业集群。</w:t>
      </w:r>
      <w:r>
        <w:rPr>
          <w:rFonts w:hint="eastAsia" w:cs="Times New Roman"/>
          <w:sz w:val="32"/>
          <w:szCs w:val="32"/>
          <w:lang w:val="en-US" w:eastAsia="zh-CN"/>
        </w:rPr>
        <w:t>（上海农商银行）</w:t>
      </w:r>
    </w:p>
    <w:p w14:paraId="5265C302">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right="0" w:rightChars="0" w:firstLine="0" w:firstLineChars="0"/>
        <w:jc w:val="left"/>
        <w:textAlignment w:val="auto"/>
        <w:rPr>
          <w:rFonts w:hint="eastAsia"/>
          <w:lang w:val="en-US" w:eastAsia="zh-CN"/>
        </w:rPr>
      </w:pPr>
      <w:r>
        <w:rPr>
          <w:rFonts w:hint="eastAsia" w:ascii="楷体_GB2312" w:hAnsi="楷体_GB2312" w:eastAsia="楷体_GB2312" w:cs="楷体_GB2312"/>
          <w:b/>
          <w:bCs w:val="0"/>
          <w:i w:val="0"/>
          <w:caps w:val="0"/>
          <w:spacing w:val="-6"/>
          <w:kern w:val="44"/>
          <w:sz w:val="32"/>
          <w:szCs w:val="32"/>
          <w:shd w:val="clear" w:fill="FFFFFF"/>
          <w:lang w:val="en-US" w:eastAsia="zh-CN" w:bidi="ar"/>
        </w:rPr>
        <w:t>国企之窗</w:t>
      </w:r>
    </w:p>
    <w:p w14:paraId="77BDED89">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default" w:ascii="Times New Roman" w:hAnsi="Times New Roman" w:eastAsia="华文中宋" w:cs="华文中宋"/>
          <w:b w:val="0"/>
          <w:bCs/>
          <w:i w:val="0"/>
          <w:caps w:val="0"/>
          <w:spacing w:val="0"/>
          <w:kern w:val="44"/>
          <w:sz w:val="36"/>
          <w:szCs w:val="36"/>
          <w:shd w:val="clear" w:fill="FFFFFF"/>
          <w:lang w:val="en-US" w:eastAsia="zh-CN" w:bidi="ar"/>
        </w:rPr>
      </w:pPr>
      <w:r>
        <w:rPr>
          <w:rFonts w:hint="default" w:ascii="Times New Roman" w:hAnsi="Times New Roman" w:eastAsia="华文中宋" w:cs="华文中宋"/>
          <w:b w:val="0"/>
          <w:bCs/>
          <w:i w:val="0"/>
          <w:caps w:val="0"/>
          <w:spacing w:val="0"/>
          <w:kern w:val="44"/>
          <w:sz w:val="36"/>
          <w:szCs w:val="36"/>
          <w:shd w:val="clear" w:fill="FFFFFF"/>
          <w:lang w:val="en-US" w:eastAsia="zh-CN" w:bidi="ar"/>
        </w:rPr>
        <w:t>上海电气为长征十号乙运载火箭可控回收提供海上保障</w:t>
      </w:r>
    </w:p>
    <w:p w14:paraId="129D9EB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近日，长征十号乙运载火箭成功发射，圆满完成我国首次运载火箭一子级可控回收。上海电气风电运维母船担任1号保障船，以硬核海工装备护航，为本次运载火箭可控回收提供了坚实海上保障。</w:t>
      </w:r>
    </w:p>
    <w:p w14:paraId="62064C0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面对复杂海况，此次参与护航保障的运维母船（SOV）“至诚60”，依托搭载的主动式波浪补偿栈桥，实现了高精度、高稳定的船间人员安全过驳作业，为火箭回收前后的设备检查、海上人员驻留与生活配套提供了可靠的作业条件和综合保障服务，以国产高端海工硬实力，托举中国航天技术创新突破。</w:t>
      </w:r>
    </w:p>
    <w:p w14:paraId="72086F7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目前，上海电气旗下拥有两艘亚洲首制运维母船（SOV），分别是“至臻100”与“至诚60”。两船均配置DP2动力定位和主动式波浪补偿栈桥，是目前国内运维作业能力最佳、安全程度最高的船舶之一，可广泛适配海上风电、海洋油气、航天海上保障等多元领域，能够在各类恶劣海况下，稳定开展人员转运、物资输送、海上驻勤、生活配套等一体化综合服务，实现高端海工装备的跨领域创新应用。（上海电气）</w:t>
      </w:r>
    </w:p>
    <w:p w14:paraId="061D506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sz w:val="32"/>
          <w:szCs w:val="32"/>
          <w:lang w:val="en-US" w:eastAsia="zh-CN"/>
        </w:rPr>
      </w:pPr>
    </w:p>
    <w:p w14:paraId="7138619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加快构建上海绿色燃料产业链体系</w:t>
      </w:r>
    </w:p>
    <w:p w14:paraId="5C824E3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上海本地绿色甲醇项目获国内首批GSTC认证</w:t>
      </w:r>
    </w:p>
    <w:p w14:paraId="7FA2640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近日，上海国际航运绿色燃料可持续发展大会召开，本次大会以“践行双碳战略、领航绿色燃料”为核心主题，全力推进国际航运绿色燃料认证、交易、加注三位一体“三中心”建设，为上海国际航运中心绿色升级、全球航运低碳转型筑牢关键支撑。</w:t>
      </w:r>
    </w:p>
    <w:p w14:paraId="59444A3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会上，由申能集团牵头，联合上海城投集团、华谊集团与上港集团共同推进建成的上海10万吨级绿色甲醇项目获颁我国首批绿色船用燃料国际认证体系（GSTC）证书。</w:t>
      </w:r>
    </w:p>
    <w:p w14:paraId="477DF1D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作为上海市属综合性能源企业，申能集团在国际航运中心建设中承担了绿色燃料产供储销体系建设的重要任务——联合上港集团率先开展了上海港保税LNG加注工作，实现100万方LNG资源供应能力；稳步实施“生物天然气制甲醇、生物质直接气化制甲醇、绿氢+CCUS制甲醇”的绿色甲醇“三步走”发展路线，其中牵头开展的上海10万吨级绿色甲醇项目已经建成，为上海国际航运绿色燃料加注中心建设奠定了坚强的资源保障。</w:t>
      </w:r>
    </w:p>
    <w:p w14:paraId="7DAE121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未来，申能集团将发挥好全市能源保供“顶梁柱”和绿色转型“排头兵”作用，努力打造绿色燃料链主企业，和上下游企业携手，加快构建稳定高效、内外共济、市场协同、技术领先的上海绿色燃料产业链体系。（申能集团）</w:t>
      </w:r>
    </w:p>
    <w:p w14:paraId="0907ECC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sz w:val="32"/>
          <w:szCs w:val="32"/>
          <w:lang w:val="en-US" w:eastAsia="zh-CN"/>
        </w:rPr>
      </w:pPr>
    </w:p>
    <w:p w14:paraId="57A943B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国内单机场规模最大</w:t>
      </w:r>
    </w:p>
    <w:p w14:paraId="4C256E6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浦东机场打造免税“国潮专区”</w:t>
      </w:r>
    </w:p>
    <w:p w14:paraId="1DA0982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近日，上海机场积极贯彻落实国家政策要求，携手中免集团在浦东机场2号航站楼国际、港澳台出发候机区正式推出免税品国潮专区，专区面积超过200平方米，是全国单机场规模最大的免税店国货专属空间，在国际航空枢纽门户为“中国制造”搭起面向中外旅客更加生动的展示窗口。</w:t>
      </w:r>
    </w:p>
    <w:p w14:paraId="479AE35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免税品国潮专区位于浦东机场T2国际、港澳台候机区D75登机口附近，通过打造沉浸式国风购物场景，让全球出境旅客直观感受中国智造与东方美学的独特魅力。专区汇聚香化护肤、非遗文创与潮玩、食品保健等多品类国货矩阵，涵盖数十个国产知名和新锐品牌，选品精准匹配“科技感知”“东方养肤”消费新趋势。今年以来，浦东机场采用“国内龙头+国际巨头”的多元竞合新模式，由中免集团、杜福睿（Avolta）分别负责运营T2、S2卫星厅和T1、S1卫星厅的免税店，已经形成“国际大牌+国货精品”双线矩阵，持续丰富国际香化、酒类、食品等品类。</w:t>
      </w:r>
    </w:p>
    <w:p w14:paraId="0855973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未来，机场集团将进一步发挥枢纽门户优势，积极打造国货与新品首发阵地，为旅客提供更高品质的消费购物体验。（机场集团）</w:t>
      </w:r>
    </w:p>
    <w:p w14:paraId="65F6EA2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Times New Roman"/>
          <w:b w:val="0"/>
          <w:bCs w:val="0"/>
          <w:sz w:val="32"/>
          <w:szCs w:val="32"/>
          <w:lang w:val="en-US" w:eastAsia="zh-CN"/>
        </w:rPr>
      </w:pPr>
    </w:p>
    <w:p w14:paraId="7EC8B0E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全国首家城市轨道交通运营国家标准验证点启动</w:t>
      </w:r>
    </w:p>
    <w:p w14:paraId="56802A7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申通地铁集团引领行业标准化建设再上新台阶</w:t>
      </w:r>
    </w:p>
    <w:p w14:paraId="4B040F5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近日，“城市轨道交通运营”国家标准验证点正式启动建设。此次获批的“城市轨道交通运营”国家标准验证点，是国家标准化管理委员会公布的第二批国家标准验证点之一，服务业领域全国仅有两家单位获批。这是继2016年申通地铁集团率先获得城市轨道交通行业运营领域首家“国家级标准化试点”后，再次率先获得该领域首家“国家标准验证点”，标志着申通地铁集团标准化建设综合实力持续跃升。</w:t>
      </w:r>
    </w:p>
    <w:p w14:paraId="02DD930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申通地铁集团已建立覆盖“技术—管理—工作”全领域的企标体系，主导或参与制修订国家、行业、地方标准百余项；建有张江实训基地及多专业实验室和仿真平台，配备高精度检测设备与专业团队，具备关键系统全生命周期验证能力。建设方案明确，将围绕“建设国内领先、与国际接轨的城市轨道交通运营标准验证平台”目标，构建“标准验证—问题诊断—技术攻关—标准升级”的闭环机制。重点推进建立高效协同机制、构建完善技术体系、搭建全场景验证环境、组建标准验证联盟及培养复合型标准化人才等</w:t>
      </w:r>
      <w:bookmarkStart w:id="0" w:name="_GoBack"/>
      <w:bookmarkEnd w:id="0"/>
      <w:r>
        <w:rPr>
          <w:rFonts w:hint="eastAsia" w:ascii="Times New Roman" w:hAnsi="Times New Roman" w:eastAsia="仿宋_GB2312" w:cs="Times New Roman"/>
          <w:b w:val="0"/>
          <w:bCs w:val="0"/>
          <w:sz w:val="32"/>
          <w:szCs w:val="32"/>
          <w:lang w:val="en-US" w:eastAsia="zh-CN"/>
        </w:rPr>
        <w:t>五项工作。（申通地铁集团）</w:t>
      </w:r>
    </w:p>
    <w:sectPr>
      <w:footerReference r:id="rId3" w:type="default"/>
      <w:pgSz w:w="11906" w:h="16838"/>
      <w:pgMar w:top="2041" w:right="1531" w:bottom="2041"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1" w:fontKey="{5FAADFCC-9443-453A-B507-236A984B2F5D}"/>
  </w:font>
  <w:font w:name="Monotype Corsiva">
    <w:panose1 w:val="03010101010201010101"/>
    <w:charset w:val="00"/>
    <w:family w:val="script"/>
    <w:pitch w:val="default"/>
    <w:sig w:usb0="00000287" w:usb1="00000000" w:usb2="00000000" w:usb3="00000000" w:csb0="2000009F" w:csb1="DFD70000"/>
    <w:embedRegular r:id="rId2" w:fontKey="{26E868B1-3A45-4DA0-9730-75E641B69C9A}"/>
  </w:font>
  <w:font w:name="方正舒体">
    <w:panose1 w:val="02010601030101010101"/>
    <w:charset w:val="86"/>
    <w:family w:val="auto"/>
    <w:pitch w:val="default"/>
    <w:sig w:usb0="00000003" w:usb1="080E0000" w:usb2="00000000" w:usb3="00000000" w:csb0="00040000" w:csb1="00000000"/>
    <w:embedRegular r:id="rId3" w:fontKey="{10990C63-5912-4E28-847D-5DFF1BAA50FC}"/>
  </w:font>
  <w:font w:name="华文行楷">
    <w:panose1 w:val="02010800040101010101"/>
    <w:charset w:val="86"/>
    <w:family w:val="auto"/>
    <w:pitch w:val="default"/>
    <w:sig w:usb0="00000001" w:usb1="080F0000" w:usb2="00000000" w:usb3="00000000" w:csb0="00040000" w:csb1="00000000"/>
    <w:embedRegular r:id="rId4" w:fontKey="{184DCBC4-3B7D-4027-B1B1-24F3DAC6D2F2}"/>
  </w:font>
  <w:font w:name="楷体_GB2312">
    <w:panose1 w:val="02010609030101010101"/>
    <w:charset w:val="86"/>
    <w:family w:val="modern"/>
    <w:pitch w:val="default"/>
    <w:sig w:usb0="00000001" w:usb1="080E0000" w:usb2="00000000" w:usb3="00000000" w:csb0="00040000" w:csb1="00000000"/>
    <w:embedRegular r:id="rId5" w:fontKey="{726FDA32-1A91-4842-8EB1-FED487009856}"/>
  </w:font>
  <w:font w:name="华文中宋">
    <w:panose1 w:val="02010600040101010101"/>
    <w:charset w:val="86"/>
    <w:family w:val="auto"/>
    <w:pitch w:val="default"/>
    <w:sig w:usb0="00000287" w:usb1="080F0000" w:usb2="00000000" w:usb3="00000000" w:csb0="0004009F" w:csb1="DFD70000"/>
    <w:embedRegular r:id="rId6" w:fontKey="{F8D3EBA0-4483-4547-A389-CE3797E5C200}"/>
  </w:font>
  <w:font w:name="方正小标宋简体">
    <w:panose1 w:val="03000509000000000000"/>
    <w:charset w:val="86"/>
    <w:family w:val="auto"/>
    <w:pitch w:val="default"/>
    <w:sig w:usb0="00000001" w:usb1="080E0000" w:usb2="00000000" w:usb3="00000000" w:csb0="00040000" w:csb1="00000000"/>
  </w:font>
  <w:font w:name="WPSEMBED3">
    <w:panose1 w:val="02010800040101010101"/>
    <w:charset w:val="86"/>
    <w:family w:val="auto"/>
    <w:pitch w:val="default"/>
    <w:sig w:usb0="00000001" w:usb1="080F0000" w:usb2="00000000" w:usb3="00000000" w:csb0="00040000" w:csb1="00000000"/>
  </w:font>
  <w:font w:name="WPSEMBED1">
    <w:panose1 w:val="03010101010201010101"/>
    <w:charset w:val="00"/>
    <w:family w:val="auto"/>
    <w:pitch w:val="default"/>
    <w:sig w:usb0="00000287" w:usb1="00000000" w:usb2="00000000" w:usb3="00000000" w:csb0="2000009F" w:csb1="DFD70000"/>
  </w:font>
  <w:font w:name="WPSEMBED2">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F740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6423C4">
                          <w:pPr>
                            <w:pStyle w:val="5"/>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6423C4">
                    <w:pPr>
                      <w:pStyle w:val="5"/>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B97D2F"/>
    <w:multiLevelType w:val="multilevel"/>
    <w:tmpl w:val="2CB97D2F"/>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75072"/>
    <w:rsid w:val="001113BD"/>
    <w:rsid w:val="002D3C4E"/>
    <w:rsid w:val="00327393"/>
    <w:rsid w:val="00360E24"/>
    <w:rsid w:val="00510B10"/>
    <w:rsid w:val="00734F6D"/>
    <w:rsid w:val="00C17F3A"/>
    <w:rsid w:val="00EB052C"/>
    <w:rsid w:val="013F17E5"/>
    <w:rsid w:val="016C71F3"/>
    <w:rsid w:val="0189664D"/>
    <w:rsid w:val="01A22C15"/>
    <w:rsid w:val="01F114A6"/>
    <w:rsid w:val="027658DD"/>
    <w:rsid w:val="028278F1"/>
    <w:rsid w:val="029A7D90"/>
    <w:rsid w:val="02DC4B81"/>
    <w:rsid w:val="02F86670"/>
    <w:rsid w:val="030663D5"/>
    <w:rsid w:val="031E1190"/>
    <w:rsid w:val="032F3900"/>
    <w:rsid w:val="03506B28"/>
    <w:rsid w:val="03546191"/>
    <w:rsid w:val="036839EA"/>
    <w:rsid w:val="03817CA8"/>
    <w:rsid w:val="038756CA"/>
    <w:rsid w:val="03A92467"/>
    <w:rsid w:val="03B5196C"/>
    <w:rsid w:val="03E348EC"/>
    <w:rsid w:val="042E0790"/>
    <w:rsid w:val="04377285"/>
    <w:rsid w:val="04770389"/>
    <w:rsid w:val="04861F72"/>
    <w:rsid w:val="04912ACD"/>
    <w:rsid w:val="049B219B"/>
    <w:rsid w:val="04AF1183"/>
    <w:rsid w:val="04BB33AF"/>
    <w:rsid w:val="04C9495C"/>
    <w:rsid w:val="04EB36D1"/>
    <w:rsid w:val="04F922D8"/>
    <w:rsid w:val="04FC0987"/>
    <w:rsid w:val="05135981"/>
    <w:rsid w:val="055406CA"/>
    <w:rsid w:val="057747FA"/>
    <w:rsid w:val="05D830A9"/>
    <w:rsid w:val="061A6B1D"/>
    <w:rsid w:val="06236B1C"/>
    <w:rsid w:val="06476169"/>
    <w:rsid w:val="06585F98"/>
    <w:rsid w:val="06593102"/>
    <w:rsid w:val="06904D60"/>
    <w:rsid w:val="06B44EBB"/>
    <w:rsid w:val="06C23411"/>
    <w:rsid w:val="06D27AF8"/>
    <w:rsid w:val="06E407F5"/>
    <w:rsid w:val="06E823F7"/>
    <w:rsid w:val="06EA7FED"/>
    <w:rsid w:val="074D53D1"/>
    <w:rsid w:val="078B6E70"/>
    <w:rsid w:val="07A01F66"/>
    <w:rsid w:val="07BB7C23"/>
    <w:rsid w:val="07BD70D6"/>
    <w:rsid w:val="07EC127F"/>
    <w:rsid w:val="07F7156F"/>
    <w:rsid w:val="086417A9"/>
    <w:rsid w:val="087C7B01"/>
    <w:rsid w:val="089F4B7E"/>
    <w:rsid w:val="08DF4414"/>
    <w:rsid w:val="08FE2188"/>
    <w:rsid w:val="09AE72E5"/>
    <w:rsid w:val="09BF1E8A"/>
    <w:rsid w:val="09D40933"/>
    <w:rsid w:val="09FC5E0B"/>
    <w:rsid w:val="0A5F5B47"/>
    <w:rsid w:val="0A876E4C"/>
    <w:rsid w:val="0A913826"/>
    <w:rsid w:val="0A9B6453"/>
    <w:rsid w:val="0AB669EE"/>
    <w:rsid w:val="0AB94B2B"/>
    <w:rsid w:val="0ACE49E2"/>
    <w:rsid w:val="0AEF0A53"/>
    <w:rsid w:val="0B0126DC"/>
    <w:rsid w:val="0B0A6214"/>
    <w:rsid w:val="0B1C6262"/>
    <w:rsid w:val="0B370A42"/>
    <w:rsid w:val="0B3B57FD"/>
    <w:rsid w:val="0B611D50"/>
    <w:rsid w:val="0B73728A"/>
    <w:rsid w:val="0BC94856"/>
    <w:rsid w:val="0C2C7AF9"/>
    <w:rsid w:val="0C3002B5"/>
    <w:rsid w:val="0C4A717C"/>
    <w:rsid w:val="0C644B3C"/>
    <w:rsid w:val="0C6C6465"/>
    <w:rsid w:val="0C8A3029"/>
    <w:rsid w:val="0C9B1B99"/>
    <w:rsid w:val="0CA7474C"/>
    <w:rsid w:val="0CB206D4"/>
    <w:rsid w:val="0CDE6ACB"/>
    <w:rsid w:val="0D1A5D55"/>
    <w:rsid w:val="0D20553E"/>
    <w:rsid w:val="0D252196"/>
    <w:rsid w:val="0D605732"/>
    <w:rsid w:val="0D6D5B7A"/>
    <w:rsid w:val="0D7511DD"/>
    <w:rsid w:val="0D770F93"/>
    <w:rsid w:val="0D8C6527"/>
    <w:rsid w:val="0D8F0F85"/>
    <w:rsid w:val="0D9B2C64"/>
    <w:rsid w:val="0DAB087B"/>
    <w:rsid w:val="0DD56120"/>
    <w:rsid w:val="0E197DBB"/>
    <w:rsid w:val="0E456E02"/>
    <w:rsid w:val="0E653000"/>
    <w:rsid w:val="0E880933"/>
    <w:rsid w:val="0F2268F0"/>
    <w:rsid w:val="0F564C2F"/>
    <w:rsid w:val="0FD7617F"/>
    <w:rsid w:val="103709CC"/>
    <w:rsid w:val="103D2D56"/>
    <w:rsid w:val="1054157E"/>
    <w:rsid w:val="108D2888"/>
    <w:rsid w:val="10B169D0"/>
    <w:rsid w:val="10D8779B"/>
    <w:rsid w:val="11342C8E"/>
    <w:rsid w:val="119333A6"/>
    <w:rsid w:val="119D61A1"/>
    <w:rsid w:val="11BE0EFC"/>
    <w:rsid w:val="11C326E3"/>
    <w:rsid w:val="11EE117E"/>
    <w:rsid w:val="124F7E3E"/>
    <w:rsid w:val="126A3748"/>
    <w:rsid w:val="129A71A6"/>
    <w:rsid w:val="12F50CAB"/>
    <w:rsid w:val="132B63AE"/>
    <w:rsid w:val="134523ED"/>
    <w:rsid w:val="13640BA1"/>
    <w:rsid w:val="13833F28"/>
    <w:rsid w:val="13A55C08"/>
    <w:rsid w:val="13D179D6"/>
    <w:rsid w:val="13D54BBD"/>
    <w:rsid w:val="13D5750B"/>
    <w:rsid w:val="14415B49"/>
    <w:rsid w:val="14663EA8"/>
    <w:rsid w:val="14701DC1"/>
    <w:rsid w:val="14A23DD3"/>
    <w:rsid w:val="14CE54A9"/>
    <w:rsid w:val="14EF6EE8"/>
    <w:rsid w:val="14FC1AFD"/>
    <w:rsid w:val="14FC267E"/>
    <w:rsid w:val="151B6B0E"/>
    <w:rsid w:val="15325ACE"/>
    <w:rsid w:val="15386004"/>
    <w:rsid w:val="153B15FE"/>
    <w:rsid w:val="15491E75"/>
    <w:rsid w:val="15582931"/>
    <w:rsid w:val="158D3702"/>
    <w:rsid w:val="169564C9"/>
    <w:rsid w:val="16A13043"/>
    <w:rsid w:val="16C444E1"/>
    <w:rsid w:val="16E72946"/>
    <w:rsid w:val="16F947A3"/>
    <w:rsid w:val="17437AF2"/>
    <w:rsid w:val="174435F7"/>
    <w:rsid w:val="17536547"/>
    <w:rsid w:val="175F5A57"/>
    <w:rsid w:val="176D36C6"/>
    <w:rsid w:val="177E5132"/>
    <w:rsid w:val="179A60F6"/>
    <w:rsid w:val="17EE3682"/>
    <w:rsid w:val="18CE34D3"/>
    <w:rsid w:val="18CE5C46"/>
    <w:rsid w:val="18F648D4"/>
    <w:rsid w:val="18FA6A3B"/>
    <w:rsid w:val="192763CA"/>
    <w:rsid w:val="199C0963"/>
    <w:rsid w:val="19ED43C7"/>
    <w:rsid w:val="1A061820"/>
    <w:rsid w:val="1A1573E9"/>
    <w:rsid w:val="1A7208D9"/>
    <w:rsid w:val="1AAE449B"/>
    <w:rsid w:val="1AB64BE3"/>
    <w:rsid w:val="1B19247D"/>
    <w:rsid w:val="1B1FCF3A"/>
    <w:rsid w:val="1B3721C8"/>
    <w:rsid w:val="1B39740C"/>
    <w:rsid w:val="1B486183"/>
    <w:rsid w:val="1B684130"/>
    <w:rsid w:val="1B927DD1"/>
    <w:rsid w:val="1BBC7A8D"/>
    <w:rsid w:val="1BCF2B71"/>
    <w:rsid w:val="1BF47218"/>
    <w:rsid w:val="1BF754B3"/>
    <w:rsid w:val="1C036557"/>
    <w:rsid w:val="1C16002F"/>
    <w:rsid w:val="1C263E88"/>
    <w:rsid w:val="1C2761BC"/>
    <w:rsid w:val="1C6D06D7"/>
    <w:rsid w:val="1C6E39C8"/>
    <w:rsid w:val="1C965384"/>
    <w:rsid w:val="1CEF74C6"/>
    <w:rsid w:val="1D374356"/>
    <w:rsid w:val="1D3A0284"/>
    <w:rsid w:val="1DCB535E"/>
    <w:rsid w:val="1DFFB3F8"/>
    <w:rsid w:val="1E2E78B2"/>
    <w:rsid w:val="1E847F11"/>
    <w:rsid w:val="1E8B5B37"/>
    <w:rsid w:val="1EC9341E"/>
    <w:rsid w:val="1EE2244B"/>
    <w:rsid w:val="1EEA4844"/>
    <w:rsid w:val="1F010FC2"/>
    <w:rsid w:val="1F114779"/>
    <w:rsid w:val="1F136AA8"/>
    <w:rsid w:val="1F1B770B"/>
    <w:rsid w:val="1F9820A7"/>
    <w:rsid w:val="1FAC139E"/>
    <w:rsid w:val="1FB92A97"/>
    <w:rsid w:val="1FEB3581"/>
    <w:rsid w:val="201B5F07"/>
    <w:rsid w:val="20435030"/>
    <w:rsid w:val="20BE2FD2"/>
    <w:rsid w:val="20D75279"/>
    <w:rsid w:val="20EE77A3"/>
    <w:rsid w:val="20F052F3"/>
    <w:rsid w:val="20F0554C"/>
    <w:rsid w:val="21120CF6"/>
    <w:rsid w:val="213845A4"/>
    <w:rsid w:val="21E55FC7"/>
    <w:rsid w:val="21FB6ACC"/>
    <w:rsid w:val="220E3E9E"/>
    <w:rsid w:val="221B2DED"/>
    <w:rsid w:val="22237360"/>
    <w:rsid w:val="22453160"/>
    <w:rsid w:val="229A1106"/>
    <w:rsid w:val="22AD4B1E"/>
    <w:rsid w:val="22CE5F9A"/>
    <w:rsid w:val="22E276E2"/>
    <w:rsid w:val="22E8419D"/>
    <w:rsid w:val="22F938B0"/>
    <w:rsid w:val="23321FDB"/>
    <w:rsid w:val="23A93537"/>
    <w:rsid w:val="23AB395A"/>
    <w:rsid w:val="23AD1279"/>
    <w:rsid w:val="23E8005F"/>
    <w:rsid w:val="23FA0237"/>
    <w:rsid w:val="23FC3FAF"/>
    <w:rsid w:val="24194B61"/>
    <w:rsid w:val="2428282F"/>
    <w:rsid w:val="243C31D2"/>
    <w:rsid w:val="244E64CE"/>
    <w:rsid w:val="24575689"/>
    <w:rsid w:val="249D327E"/>
    <w:rsid w:val="24DE25E6"/>
    <w:rsid w:val="24E26007"/>
    <w:rsid w:val="24E44819"/>
    <w:rsid w:val="24F627AC"/>
    <w:rsid w:val="24FA29B1"/>
    <w:rsid w:val="25201D61"/>
    <w:rsid w:val="25504BD5"/>
    <w:rsid w:val="2559683D"/>
    <w:rsid w:val="25BD32CA"/>
    <w:rsid w:val="25C05F54"/>
    <w:rsid w:val="25C62619"/>
    <w:rsid w:val="25D250E6"/>
    <w:rsid w:val="25D83FDE"/>
    <w:rsid w:val="26086C3B"/>
    <w:rsid w:val="263435E5"/>
    <w:rsid w:val="263D3F96"/>
    <w:rsid w:val="26547924"/>
    <w:rsid w:val="266126EB"/>
    <w:rsid w:val="268A5833"/>
    <w:rsid w:val="26991969"/>
    <w:rsid w:val="26C36002"/>
    <w:rsid w:val="27CE6E7A"/>
    <w:rsid w:val="281E2746"/>
    <w:rsid w:val="28382332"/>
    <w:rsid w:val="285F30B0"/>
    <w:rsid w:val="286F1064"/>
    <w:rsid w:val="28812400"/>
    <w:rsid w:val="28884063"/>
    <w:rsid w:val="28CE5BC4"/>
    <w:rsid w:val="28DA6C3F"/>
    <w:rsid w:val="29143B49"/>
    <w:rsid w:val="298450F5"/>
    <w:rsid w:val="299148F9"/>
    <w:rsid w:val="299E220B"/>
    <w:rsid w:val="29A7676B"/>
    <w:rsid w:val="29AC683E"/>
    <w:rsid w:val="2A360F85"/>
    <w:rsid w:val="2A5D464D"/>
    <w:rsid w:val="2A75410F"/>
    <w:rsid w:val="2A880E1D"/>
    <w:rsid w:val="2AA34250"/>
    <w:rsid w:val="2AA358A3"/>
    <w:rsid w:val="2AAA6513"/>
    <w:rsid w:val="2AFC6642"/>
    <w:rsid w:val="2B603794"/>
    <w:rsid w:val="2C1B0D4A"/>
    <w:rsid w:val="2C243741"/>
    <w:rsid w:val="2C5D1D8D"/>
    <w:rsid w:val="2C6A5839"/>
    <w:rsid w:val="2D0C48CD"/>
    <w:rsid w:val="2D6E108A"/>
    <w:rsid w:val="2D875248"/>
    <w:rsid w:val="2D90508A"/>
    <w:rsid w:val="2D922480"/>
    <w:rsid w:val="2DE85FF2"/>
    <w:rsid w:val="2DF126AA"/>
    <w:rsid w:val="2DFA14E5"/>
    <w:rsid w:val="2E624857"/>
    <w:rsid w:val="2F0B154A"/>
    <w:rsid w:val="2F6E62BE"/>
    <w:rsid w:val="2F9B28CE"/>
    <w:rsid w:val="2FAC6C2C"/>
    <w:rsid w:val="2FCA1B7F"/>
    <w:rsid w:val="2FFD8E40"/>
    <w:rsid w:val="30011EB2"/>
    <w:rsid w:val="300441D0"/>
    <w:rsid w:val="30347592"/>
    <w:rsid w:val="30470360"/>
    <w:rsid w:val="30586A11"/>
    <w:rsid w:val="306B6744"/>
    <w:rsid w:val="30C96FC7"/>
    <w:rsid w:val="30CD0B73"/>
    <w:rsid w:val="30E42053"/>
    <w:rsid w:val="30FC739C"/>
    <w:rsid w:val="30FF0F4F"/>
    <w:rsid w:val="31045B89"/>
    <w:rsid w:val="31445AD2"/>
    <w:rsid w:val="3183186B"/>
    <w:rsid w:val="31A939D7"/>
    <w:rsid w:val="31E42682"/>
    <w:rsid w:val="320355CD"/>
    <w:rsid w:val="32201EB1"/>
    <w:rsid w:val="32366D6B"/>
    <w:rsid w:val="32454D73"/>
    <w:rsid w:val="328A6C2A"/>
    <w:rsid w:val="32C57C62"/>
    <w:rsid w:val="33194429"/>
    <w:rsid w:val="331C5AD4"/>
    <w:rsid w:val="33572580"/>
    <w:rsid w:val="33576588"/>
    <w:rsid w:val="339C6957"/>
    <w:rsid w:val="33A82B67"/>
    <w:rsid w:val="33AD61A9"/>
    <w:rsid w:val="33B67924"/>
    <w:rsid w:val="33B76CFF"/>
    <w:rsid w:val="34495732"/>
    <w:rsid w:val="34700D72"/>
    <w:rsid w:val="34916A44"/>
    <w:rsid w:val="34E70363"/>
    <w:rsid w:val="35016ED2"/>
    <w:rsid w:val="3502780C"/>
    <w:rsid w:val="35566C29"/>
    <w:rsid w:val="35BC359E"/>
    <w:rsid w:val="35C97A69"/>
    <w:rsid w:val="35F0461A"/>
    <w:rsid w:val="3604551F"/>
    <w:rsid w:val="3644480A"/>
    <w:rsid w:val="36541A28"/>
    <w:rsid w:val="365841AE"/>
    <w:rsid w:val="366D26F8"/>
    <w:rsid w:val="367621AC"/>
    <w:rsid w:val="36B670C2"/>
    <w:rsid w:val="36E032BC"/>
    <w:rsid w:val="36F3056E"/>
    <w:rsid w:val="36F445E5"/>
    <w:rsid w:val="370276D6"/>
    <w:rsid w:val="37042369"/>
    <w:rsid w:val="375717D0"/>
    <w:rsid w:val="375D66BB"/>
    <w:rsid w:val="37E56DDC"/>
    <w:rsid w:val="37EA0060"/>
    <w:rsid w:val="380354B4"/>
    <w:rsid w:val="381274A5"/>
    <w:rsid w:val="38211DDE"/>
    <w:rsid w:val="38257DE4"/>
    <w:rsid w:val="38353A8A"/>
    <w:rsid w:val="38413B3E"/>
    <w:rsid w:val="384D4981"/>
    <w:rsid w:val="38502041"/>
    <w:rsid w:val="38532E42"/>
    <w:rsid w:val="385828C1"/>
    <w:rsid w:val="386D5023"/>
    <w:rsid w:val="3874481B"/>
    <w:rsid w:val="390F1A9A"/>
    <w:rsid w:val="39644D95"/>
    <w:rsid w:val="396D7564"/>
    <w:rsid w:val="39934616"/>
    <w:rsid w:val="3A0D7142"/>
    <w:rsid w:val="3A3951BD"/>
    <w:rsid w:val="3A794498"/>
    <w:rsid w:val="3AC80191"/>
    <w:rsid w:val="3AD12EA7"/>
    <w:rsid w:val="3B0B653D"/>
    <w:rsid w:val="3B1743D8"/>
    <w:rsid w:val="3B644241"/>
    <w:rsid w:val="3BC47ED3"/>
    <w:rsid w:val="3BDD0772"/>
    <w:rsid w:val="3C570FBE"/>
    <w:rsid w:val="3C7C3A87"/>
    <w:rsid w:val="3CFC187D"/>
    <w:rsid w:val="3D0D1022"/>
    <w:rsid w:val="3D72154A"/>
    <w:rsid w:val="3DB04ECE"/>
    <w:rsid w:val="3DBFDC0A"/>
    <w:rsid w:val="3DE17BAA"/>
    <w:rsid w:val="3E151A9D"/>
    <w:rsid w:val="3E1F291C"/>
    <w:rsid w:val="3E431692"/>
    <w:rsid w:val="3E432A93"/>
    <w:rsid w:val="3E6E56EE"/>
    <w:rsid w:val="3E9E05F6"/>
    <w:rsid w:val="3ECA79FB"/>
    <w:rsid w:val="3EEC4B49"/>
    <w:rsid w:val="3F0D3F8E"/>
    <w:rsid w:val="3F7809C4"/>
    <w:rsid w:val="3FBE399E"/>
    <w:rsid w:val="3FC52998"/>
    <w:rsid w:val="3FCF3ECE"/>
    <w:rsid w:val="3FFB4CC3"/>
    <w:rsid w:val="401556B5"/>
    <w:rsid w:val="40180EB2"/>
    <w:rsid w:val="40414DCB"/>
    <w:rsid w:val="40520D87"/>
    <w:rsid w:val="41272213"/>
    <w:rsid w:val="414032D5"/>
    <w:rsid w:val="415F7A57"/>
    <w:rsid w:val="41943621"/>
    <w:rsid w:val="419C2362"/>
    <w:rsid w:val="41E501B8"/>
    <w:rsid w:val="42427904"/>
    <w:rsid w:val="428002FC"/>
    <w:rsid w:val="42815953"/>
    <w:rsid w:val="4284213D"/>
    <w:rsid w:val="429A4C67"/>
    <w:rsid w:val="42C615B8"/>
    <w:rsid w:val="42E3376C"/>
    <w:rsid w:val="42F41DA1"/>
    <w:rsid w:val="436B0CCB"/>
    <w:rsid w:val="436D5ED7"/>
    <w:rsid w:val="43904600"/>
    <w:rsid w:val="43BD286C"/>
    <w:rsid w:val="443D2FA6"/>
    <w:rsid w:val="44955C03"/>
    <w:rsid w:val="44A4014A"/>
    <w:rsid w:val="44A825EB"/>
    <w:rsid w:val="44B33264"/>
    <w:rsid w:val="44B33DBE"/>
    <w:rsid w:val="45260A34"/>
    <w:rsid w:val="453F3821"/>
    <w:rsid w:val="45457849"/>
    <w:rsid w:val="454825B1"/>
    <w:rsid w:val="45811D29"/>
    <w:rsid w:val="459C6DF2"/>
    <w:rsid w:val="45A32084"/>
    <w:rsid w:val="45CA13BF"/>
    <w:rsid w:val="45F07FE8"/>
    <w:rsid w:val="46AE491A"/>
    <w:rsid w:val="46DF329C"/>
    <w:rsid w:val="46DF70EC"/>
    <w:rsid w:val="46F5391A"/>
    <w:rsid w:val="471B22A1"/>
    <w:rsid w:val="47295937"/>
    <w:rsid w:val="474A4194"/>
    <w:rsid w:val="475B75E0"/>
    <w:rsid w:val="475FA5FB"/>
    <w:rsid w:val="47A04ACD"/>
    <w:rsid w:val="47B55DC2"/>
    <w:rsid w:val="47B80ECF"/>
    <w:rsid w:val="47BE4F54"/>
    <w:rsid w:val="47BE64C5"/>
    <w:rsid w:val="47BE73FC"/>
    <w:rsid w:val="47BF204E"/>
    <w:rsid w:val="47EE1F3B"/>
    <w:rsid w:val="481E3C44"/>
    <w:rsid w:val="483B7A14"/>
    <w:rsid w:val="484334C8"/>
    <w:rsid w:val="48473501"/>
    <w:rsid w:val="48603129"/>
    <w:rsid w:val="486D017A"/>
    <w:rsid w:val="48AD6E5F"/>
    <w:rsid w:val="48AE4977"/>
    <w:rsid w:val="48D013E2"/>
    <w:rsid w:val="48E93EF5"/>
    <w:rsid w:val="498E506C"/>
    <w:rsid w:val="49A33B39"/>
    <w:rsid w:val="49AC4C71"/>
    <w:rsid w:val="49B540C7"/>
    <w:rsid w:val="49D32778"/>
    <w:rsid w:val="4A9B4993"/>
    <w:rsid w:val="4AC231D5"/>
    <w:rsid w:val="4ADC0B7C"/>
    <w:rsid w:val="4B306168"/>
    <w:rsid w:val="4B352E5D"/>
    <w:rsid w:val="4B58282B"/>
    <w:rsid w:val="4B69167A"/>
    <w:rsid w:val="4B7668BA"/>
    <w:rsid w:val="4BB40B47"/>
    <w:rsid w:val="4BB77AB2"/>
    <w:rsid w:val="4BBF1503"/>
    <w:rsid w:val="4BBF4A43"/>
    <w:rsid w:val="4C116793"/>
    <w:rsid w:val="4C4874E2"/>
    <w:rsid w:val="4C8B19C3"/>
    <w:rsid w:val="4CBF59F6"/>
    <w:rsid w:val="4D045566"/>
    <w:rsid w:val="4D0D08A1"/>
    <w:rsid w:val="4D225F85"/>
    <w:rsid w:val="4D252766"/>
    <w:rsid w:val="4D3857A8"/>
    <w:rsid w:val="4D4C611D"/>
    <w:rsid w:val="4DBB07BE"/>
    <w:rsid w:val="4E097A0F"/>
    <w:rsid w:val="4E214614"/>
    <w:rsid w:val="4E2579AB"/>
    <w:rsid w:val="4E557C94"/>
    <w:rsid w:val="4E8812BF"/>
    <w:rsid w:val="4E8E7B60"/>
    <w:rsid w:val="4ECC7CA4"/>
    <w:rsid w:val="4EDA1F52"/>
    <w:rsid w:val="4EE02326"/>
    <w:rsid w:val="4F0C314C"/>
    <w:rsid w:val="4F3979C7"/>
    <w:rsid w:val="4F9675EC"/>
    <w:rsid w:val="4FB07878"/>
    <w:rsid w:val="4FB56C24"/>
    <w:rsid w:val="4FC64420"/>
    <w:rsid w:val="506A2CD6"/>
    <w:rsid w:val="507917DD"/>
    <w:rsid w:val="50C10927"/>
    <w:rsid w:val="511F2F07"/>
    <w:rsid w:val="512D6CA6"/>
    <w:rsid w:val="513427F7"/>
    <w:rsid w:val="51387B25"/>
    <w:rsid w:val="514D7D1E"/>
    <w:rsid w:val="516E09DF"/>
    <w:rsid w:val="51962A9D"/>
    <w:rsid w:val="519A433C"/>
    <w:rsid w:val="51D22153"/>
    <w:rsid w:val="51FF7611"/>
    <w:rsid w:val="52410C5B"/>
    <w:rsid w:val="524D6E98"/>
    <w:rsid w:val="524E69FA"/>
    <w:rsid w:val="52606A94"/>
    <w:rsid w:val="52841AC9"/>
    <w:rsid w:val="52A50EEF"/>
    <w:rsid w:val="52CA50F4"/>
    <w:rsid w:val="52F43F1F"/>
    <w:rsid w:val="5327118D"/>
    <w:rsid w:val="53281484"/>
    <w:rsid w:val="53355E2C"/>
    <w:rsid w:val="5354229B"/>
    <w:rsid w:val="5373420A"/>
    <w:rsid w:val="5399567A"/>
    <w:rsid w:val="54036BD4"/>
    <w:rsid w:val="549D6B02"/>
    <w:rsid w:val="54AD082A"/>
    <w:rsid w:val="54B659A7"/>
    <w:rsid w:val="54BE5EE0"/>
    <w:rsid w:val="5511700B"/>
    <w:rsid w:val="551C47BE"/>
    <w:rsid w:val="55374EF1"/>
    <w:rsid w:val="55674DA8"/>
    <w:rsid w:val="55753A7D"/>
    <w:rsid w:val="55780E38"/>
    <w:rsid w:val="55804813"/>
    <w:rsid w:val="55C20305"/>
    <w:rsid w:val="55D83684"/>
    <w:rsid w:val="55FC5C1D"/>
    <w:rsid w:val="55FF5BE7"/>
    <w:rsid w:val="56586774"/>
    <w:rsid w:val="56727B89"/>
    <w:rsid w:val="5673586F"/>
    <w:rsid w:val="567515C3"/>
    <w:rsid w:val="56A1616C"/>
    <w:rsid w:val="56CE4A87"/>
    <w:rsid w:val="57336597"/>
    <w:rsid w:val="578472E4"/>
    <w:rsid w:val="57EC6503"/>
    <w:rsid w:val="580C1D0B"/>
    <w:rsid w:val="582C5F09"/>
    <w:rsid w:val="583C439E"/>
    <w:rsid w:val="586027F4"/>
    <w:rsid w:val="58AD2CC2"/>
    <w:rsid w:val="58C70577"/>
    <w:rsid w:val="590B08CA"/>
    <w:rsid w:val="593432C8"/>
    <w:rsid w:val="594A6A02"/>
    <w:rsid w:val="59741916"/>
    <w:rsid w:val="598D0FDE"/>
    <w:rsid w:val="59D708D6"/>
    <w:rsid w:val="5A3E1FBA"/>
    <w:rsid w:val="5A655C07"/>
    <w:rsid w:val="5A762D42"/>
    <w:rsid w:val="5A8262B5"/>
    <w:rsid w:val="5A831CAF"/>
    <w:rsid w:val="5AA73C6B"/>
    <w:rsid w:val="5AB13643"/>
    <w:rsid w:val="5AB50FC1"/>
    <w:rsid w:val="5AB741C7"/>
    <w:rsid w:val="5ABF40D3"/>
    <w:rsid w:val="5AF90B79"/>
    <w:rsid w:val="5B7143C7"/>
    <w:rsid w:val="5B7C0F56"/>
    <w:rsid w:val="5BBE3AFE"/>
    <w:rsid w:val="5BF55F42"/>
    <w:rsid w:val="5C1967A5"/>
    <w:rsid w:val="5C1D6295"/>
    <w:rsid w:val="5C246971"/>
    <w:rsid w:val="5C3E0D4F"/>
    <w:rsid w:val="5C4E0C1B"/>
    <w:rsid w:val="5C5C0361"/>
    <w:rsid w:val="5C7E2B2D"/>
    <w:rsid w:val="5C964917"/>
    <w:rsid w:val="5CD1185B"/>
    <w:rsid w:val="5CFC28FC"/>
    <w:rsid w:val="5D294A0E"/>
    <w:rsid w:val="5E2561F1"/>
    <w:rsid w:val="5E512226"/>
    <w:rsid w:val="5E81526D"/>
    <w:rsid w:val="5E815FA5"/>
    <w:rsid w:val="5EA11DC5"/>
    <w:rsid w:val="5EB7B44D"/>
    <w:rsid w:val="5EB80682"/>
    <w:rsid w:val="5EBF0D1A"/>
    <w:rsid w:val="5EC82FEA"/>
    <w:rsid w:val="5EF84D97"/>
    <w:rsid w:val="5F552451"/>
    <w:rsid w:val="5F653658"/>
    <w:rsid w:val="5F824661"/>
    <w:rsid w:val="5F9525E6"/>
    <w:rsid w:val="5FDD7713"/>
    <w:rsid w:val="5FF9489B"/>
    <w:rsid w:val="5FFC403D"/>
    <w:rsid w:val="600F4147"/>
    <w:rsid w:val="609B59DA"/>
    <w:rsid w:val="60B13450"/>
    <w:rsid w:val="60B43F73"/>
    <w:rsid w:val="60B74988"/>
    <w:rsid w:val="60D30A5C"/>
    <w:rsid w:val="60D809DC"/>
    <w:rsid w:val="60F96E54"/>
    <w:rsid w:val="610E77EE"/>
    <w:rsid w:val="616E1356"/>
    <w:rsid w:val="618741B1"/>
    <w:rsid w:val="61A24FB0"/>
    <w:rsid w:val="61E51DE2"/>
    <w:rsid w:val="62126170"/>
    <w:rsid w:val="625B3673"/>
    <w:rsid w:val="629D6F74"/>
    <w:rsid w:val="62AA45FB"/>
    <w:rsid w:val="62CA486F"/>
    <w:rsid w:val="62CF134B"/>
    <w:rsid w:val="63215D62"/>
    <w:rsid w:val="6328082B"/>
    <w:rsid w:val="632E5AFC"/>
    <w:rsid w:val="635F7193"/>
    <w:rsid w:val="637C5F97"/>
    <w:rsid w:val="63A1155A"/>
    <w:rsid w:val="63BF0791"/>
    <w:rsid w:val="63C012CD"/>
    <w:rsid w:val="63D60996"/>
    <w:rsid w:val="63E7059E"/>
    <w:rsid w:val="63EA73A4"/>
    <w:rsid w:val="63F20B51"/>
    <w:rsid w:val="641111A6"/>
    <w:rsid w:val="64202DC6"/>
    <w:rsid w:val="64671D6D"/>
    <w:rsid w:val="6496118C"/>
    <w:rsid w:val="64B97A35"/>
    <w:rsid w:val="64BA03E3"/>
    <w:rsid w:val="64D0468F"/>
    <w:rsid w:val="64EB52A1"/>
    <w:rsid w:val="64F425BA"/>
    <w:rsid w:val="653528A1"/>
    <w:rsid w:val="6549634D"/>
    <w:rsid w:val="65624D19"/>
    <w:rsid w:val="65735178"/>
    <w:rsid w:val="65E70BEF"/>
    <w:rsid w:val="65F067C8"/>
    <w:rsid w:val="669E7A57"/>
    <w:rsid w:val="66CD28BF"/>
    <w:rsid w:val="66E150D5"/>
    <w:rsid w:val="6758204C"/>
    <w:rsid w:val="67B83316"/>
    <w:rsid w:val="67CB129B"/>
    <w:rsid w:val="67E265E5"/>
    <w:rsid w:val="67F85E08"/>
    <w:rsid w:val="68364B42"/>
    <w:rsid w:val="683B486A"/>
    <w:rsid w:val="687375F3"/>
    <w:rsid w:val="68E24AEE"/>
    <w:rsid w:val="68E33C00"/>
    <w:rsid w:val="68FC3BC1"/>
    <w:rsid w:val="69201173"/>
    <w:rsid w:val="69434E61"/>
    <w:rsid w:val="694E2184"/>
    <w:rsid w:val="695B0665"/>
    <w:rsid w:val="6A040C86"/>
    <w:rsid w:val="6A350EF2"/>
    <w:rsid w:val="6A4C294C"/>
    <w:rsid w:val="6A4E1D0F"/>
    <w:rsid w:val="6A8917B4"/>
    <w:rsid w:val="6A8B4D12"/>
    <w:rsid w:val="6AE605AD"/>
    <w:rsid w:val="6B142D29"/>
    <w:rsid w:val="6B8A6C42"/>
    <w:rsid w:val="6B8E2D0B"/>
    <w:rsid w:val="6BAF51BC"/>
    <w:rsid w:val="6C05307F"/>
    <w:rsid w:val="6CEE4D83"/>
    <w:rsid w:val="6D262AD0"/>
    <w:rsid w:val="6D2A7ED7"/>
    <w:rsid w:val="6D7F4976"/>
    <w:rsid w:val="6D9739CD"/>
    <w:rsid w:val="6DA22A9E"/>
    <w:rsid w:val="6DA531CF"/>
    <w:rsid w:val="6DB30807"/>
    <w:rsid w:val="6E113780"/>
    <w:rsid w:val="6E310D05"/>
    <w:rsid w:val="6E3D4575"/>
    <w:rsid w:val="6E934195"/>
    <w:rsid w:val="6F033E9E"/>
    <w:rsid w:val="6F51552C"/>
    <w:rsid w:val="6F524050"/>
    <w:rsid w:val="6F675DD1"/>
    <w:rsid w:val="6F814088"/>
    <w:rsid w:val="6FA833DD"/>
    <w:rsid w:val="6FFB6495"/>
    <w:rsid w:val="70073196"/>
    <w:rsid w:val="700C41FF"/>
    <w:rsid w:val="703D244F"/>
    <w:rsid w:val="70463DEA"/>
    <w:rsid w:val="705227EC"/>
    <w:rsid w:val="70590FDD"/>
    <w:rsid w:val="706F478E"/>
    <w:rsid w:val="70875F7B"/>
    <w:rsid w:val="70AB487B"/>
    <w:rsid w:val="70BC0FD8"/>
    <w:rsid w:val="70D138D4"/>
    <w:rsid w:val="71265794"/>
    <w:rsid w:val="71336CF5"/>
    <w:rsid w:val="713A4CEE"/>
    <w:rsid w:val="71C50B09"/>
    <w:rsid w:val="71D058CF"/>
    <w:rsid w:val="721675B7"/>
    <w:rsid w:val="721B2E1F"/>
    <w:rsid w:val="72245452"/>
    <w:rsid w:val="722D770A"/>
    <w:rsid w:val="72634A56"/>
    <w:rsid w:val="726E1E1F"/>
    <w:rsid w:val="72B34E05"/>
    <w:rsid w:val="72B5493F"/>
    <w:rsid w:val="72DF5BFA"/>
    <w:rsid w:val="7300449D"/>
    <w:rsid w:val="73724CC1"/>
    <w:rsid w:val="737C3591"/>
    <w:rsid w:val="73981936"/>
    <w:rsid w:val="73A94138"/>
    <w:rsid w:val="73AF2E6B"/>
    <w:rsid w:val="73EA4857"/>
    <w:rsid w:val="74100271"/>
    <w:rsid w:val="741D504A"/>
    <w:rsid w:val="743E4BA3"/>
    <w:rsid w:val="7457323E"/>
    <w:rsid w:val="749F4FD0"/>
    <w:rsid w:val="74A013B9"/>
    <w:rsid w:val="74AA048A"/>
    <w:rsid w:val="74DD43BC"/>
    <w:rsid w:val="75AC270E"/>
    <w:rsid w:val="75D95C56"/>
    <w:rsid w:val="75E0564B"/>
    <w:rsid w:val="75F47711"/>
    <w:rsid w:val="760B6A7A"/>
    <w:rsid w:val="761262E7"/>
    <w:rsid w:val="76174D8A"/>
    <w:rsid w:val="764448FD"/>
    <w:rsid w:val="764D65FB"/>
    <w:rsid w:val="767825EE"/>
    <w:rsid w:val="76856EE4"/>
    <w:rsid w:val="769C30B7"/>
    <w:rsid w:val="76FA5181"/>
    <w:rsid w:val="773F18AD"/>
    <w:rsid w:val="774E3E16"/>
    <w:rsid w:val="774E700A"/>
    <w:rsid w:val="77734DE4"/>
    <w:rsid w:val="77866F8C"/>
    <w:rsid w:val="78054355"/>
    <w:rsid w:val="780659D7"/>
    <w:rsid w:val="788334CC"/>
    <w:rsid w:val="788976F0"/>
    <w:rsid w:val="788B3CBB"/>
    <w:rsid w:val="788D7EA7"/>
    <w:rsid w:val="78C73DB8"/>
    <w:rsid w:val="792A1B99"/>
    <w:rsid w:val="792E168A"/>
    <w:rsid w:val="79EF8EE7"/>
    <w:rsid w:val="79F16039"/>
    <w:rsid w:val="7A4724A9"/>
    <w:rsid w:val="7A4F403A"/>
    <w:rsid w:val="7A5A2966"/>
    <w:rsid w:val="7A6730A5"/>
    <w:rsid w:val="7A6D6BEC"/>
    <w:rsid w:val="7AD63D87"/>
    <w:rsid w:val="7B0D76A7"/>
    <w:rsid w:val="7B260BA9"/>
    <w:rsid w:val="7B362A78"/>
    <w:rsid w:val="7B622622"/>
    <w:rsid w:val="7B791E2B"/>
    <w:rsid w:val="7B856B52"/>
    <w:rsid w:val="7B8819FF"/>
    <w:rsid w:val="7B8A016D"/>
    <w:rsid w:val="7B8D45BA"/>
    <w:rsid w:val="7B900EAA"/>
    <w:rsid w:val="7BCD5EC8"/>
    <w:rsid w:val="7C1F03DB"/>
    <w:rsid w:val="7C211BE0"/>
    <w:rsid w:val="7C2514B8"/>
    <w:rsid w:val="7C52568F"/>
    <w:rsid w:val="7C7F3FAA"/>
    <w:rsid w:val="7CA93A66"/>
    <w:rsid w:val="7CD3334B"/>
    <w:rsid w:val="7CD767BD"/>
    <w:rsid w:val="7D123AB2"/>
    <w:rsid w:val="7D170C92"/>
    <w:rsid w:val="7DC40BF3"/>
    <w:rsid w:val="7DD24CD9"/>
    <w:rsid w:val="7DFA4230"/>
    <w:rsid w:val="7EC30AC6"/>
    <w:rsid w:val="7EF74642"/>
    <w:rsid w:val="7EFF6B81"/>
    <w:rsid w:val="7F325A07"/>
    <w:rsid w:val="7F3A3878"/>
    <w:rsid w:val="7F565B5F"/>
    <w:rsid w:val="7F5B6984"/>
    <w:rsid w:val="7F61279E"/>
    <w:rsid w:val="7FA466ED"/>
    <w:rsid w:val="7FCE327F"/>
    <w:rsid w:val="DDD7BFD8"/>
    <w:rsid w:val="DF1B1DDC"/>
    <w:rsid w:val="F7EF76BD"/>
    <w:rsid w:val="FDE7BC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rPr>
      <w:rFonts w:ascii="Times New Roman" w:hAnsi="Times New Roman" w:eastAsia="仿宋_GB2312" w:cs="Calibri"/>
      <w:sz w:val="3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3731</Words>
  <Characters>3863</Characters>
  <Lines>0</Lines>
  <Paragraphs>0</Paragraphs>
  <TotalTime>11</TotalTime>
  <ScaleCrop>false</ScaleCrop>
  <LinksUpToDate>false</LinksUpToDate>
  <CharactersWithSpaces>3870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2025-11-23T22:51:00Z</dcterms:created>
  <dc:creator>user</dc:creator>
  <cp:lastModifiedBy>尤丹丹</cp:lastModifiedBy>
  <cp:lastPrinted>2025-12-20T16:38:00Z</cp:lastPrinted>
  <dcterms:modified xsi:type="dcterms:W3CDTF">2026-07-14T09:00:59Z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eyJoZGlkIjoiMjI5MzJkNWZmM2ZmZDlmM2ZiYmI5ZjNmMzM3NzY2OWIiLCJ1c2VySWQiOiI0MzYzMDI1NTAifQ==</vt:lpwstr>
  </property>
  <property fmtid="{D5CDD505-2E9C-101B-9397-08002B2CF9AE}" pid="4" name="ICV">
    <vt:lpwstr>B2E04906F4E8D4614CD4A7696D7A9F9C</vt:lpwstr>
  </property>
</Properties>
</file>