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30</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8</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15</w:t>
      </w:r>
      <w:bookmarkStart w:id="0" w:name="_GoBack"/>
      <w:bookmarkEnd w:id="0"/>
      <w:r>
        <w:rPr>
          <w:rFonts w:hint="eastAsia" w:ascii="楷体_GB2312" w:eastAsia="楷体_GB2312"/>
          <w:spacing w:val="-14"/>
          <w:sz w:val="28"/>
          <w:highlight w:val="none"/>
          <w:u w:val="single" w:color="FF0000"/>
        </w:rPr>
        <w:t>日</w:t>
      </w:r>
    </w:p>
    <w:p>
      <w:pPr>
        <w:widowControl w:val="0"/>
        <w:spacing w:line="360" w:lineRule="exact"/>
        <w:ind w:right="-101" w:rightChars="-42"/>
        <w:rPr>
          <w:rFonts w:ascii="楷体_GB2312" w:eastAsia="楷体_GB2312"/>
          <w:spacing w:val="-14"/>
          <w:sz w:val="28"/>
          <w:highlight w:val="none"/>
          <w:u w:val="single" w:color="FF0000"/>
        </w:rPr>
      </w:pPr>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金融工作</w:t>
      </w: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auto"/>
          <w:spacing w:val="0"/>
          <w:sz w:val="36"/>
          <w:szCs w:val="36"/>
          <w:highlight w:val="none"/>
        </w:rPr>
      </w:pPr>
      <w:r>
        <w:rPr>
          <w:rStyle w:val="10"/>
          <w:rFonts w:hint="eastAsia" w:ascii="华文中宋" w:hAnsi="华文中宋" w:eastAsia="华文中宋" w:cs="宋体"/>
          <w:b w:val="0"/>
          <w:bCs w:val="0"/>
          <w:i w:val="0"/>
          <w:caps w:val="0"/>
          <w:color w:val="auto"/>
          <w:spacing w:val="0"/>
          <w:sz w:val="36"/>
          <w:szCs w:val="36"/>
          <w:highlight w:val="none"/>
          <w:shd w:val="clear"/>
        </w:rPr>
        <w:t>上海银行</w:t>
      </w:r>
      <w:r>
        <w:rPr>
          <w:rStyle w:val="10"/>
          <w:rFonts w:hint="eastAsia" w:ascii="华文中宋" w:hAnsi="华文中宋" w:eastAsia="华文中宋" w:cs="宋体"/>
          <w:b w:val="0"/>
          <w:bCs w:val="0"/>
          <w:i w:val="0"/>
          <w:caps w:val="0"/>
          <w:color w:val="auto"/>
          <w:spacing w:val="0"/>
          <w:sz w:val="36"/>
          <w:szCs w:val="36"/>
          <w:highlight w:val="none"/>
          <w:shd w:val="clear"/>
          <w:lang w:eastAsia="zh-CN"/>
        </w:rPr>
        <w:t>加速拓展</w:t>
      </w:r>
      <w:r>
        <w:rPr>
          <w:rStyle w:val="10"/>
          <w:rFonts w:hint="eastAsia" w:ascii="华文中宋" w:hAnsi="华文中宋" w:eastAsia="华文中宋" w:cs="宋体"/>
          <w:b w:val="0"/>
          <w:bCs w:val="0"/>
          <w:i w:val="0"/>
          <w:caps w:val="0"/>
          <w:color w:val="auto"/>
          <w:spacing w:val="0"/>
          <w:sz w:val="36"/>
          <w:szCs w:val="36"/>
          <w:highlight w:val="none"/>
          <w:shd w:val="clear"/>
        </w:rPr>
        <w:t>数字人民币应用场景</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近日，上海银行首批试点员工通过中国人民银行数字货币研究所“数字人民币”APP及“上海银行”手机银行，完成使用数字人民币缴纳党费。这是上海银行首次成功落地数字人民币缴纳党费场景。目前，上海银行已实现商户收款、医疗场景支付、党费缴纳和数据交易合同款项支付等服务。</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上海银行通过城银清算接入人民银行数字货币研究所搭建的数字人民币互联互通平台，实现央行数字人民币APP中各运营机构的个人数字钱包与上海银行银行卡的兑出兑回、账户绑定、信息查询、快捷充值等服务功能；与多家运营机构的数字人民币系统实现直连对接，具备对公数字钱包开立、数字钱包查询、数字人民币兑换、数字人民币划转、代发、自动归集等服务能力。在为银行客户提供数字人民币交易结算服务外，上海银行自身也积极使用数字人民币结算。7月初，作为上海数据交易所的首批“全能力”战略合作伙伴，上海银行与上海大智慧财汇数据科技有限公司在上海数据交易所交易系统中完成了首单使用数字人民币支付的数据产品交易。</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未来，上海银行将结合智能合约拓展更多数字人民币应用方向，如供应链金融、普惠金融等，不断探索拓宽数字人民币应用场景，提升上海银行数字金融服务能力。（上海银行）</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0"/>
          <w:rFonts w:hint="eastAsia" w:ascii="华文中宋" w:hAnsi="华文中宋" w:eastAsia="华文中宋" w:cs="宋体"/>
          <w:b w:val="0"/>
          <w:bCs w:val="0"/>
          <w:i w:val="0"/>
          <w:caps w:val="0"/>
          <w:color w:val="auto"/>
          <w:spacing w:val="0"/>
          <w:sz w:val="36"/>
          <w:szCs w:val="36"/>
          <w:highlight w:val="none"/>
          <w:shd w:val="clear"/>
        </w:rPr>
      </w:pPr>
      <w:r>
        <w:rPr>
          <w:rStyle w:val="10"/>
          <w:rFonts w:hint="eastAsia" w:ascii="华文中宋" w:hAnsi="华文中宋" w:eastAsia="华文中宋" w:cs="宋体"/>
          <w:b w:val="0"/>
          <w:bCs w:val="0"/>
          <w:i w:val="0"/>
          <w:caps w:val="0"/>
          <w:color w:val="auto"/>
          <w:spacing w:val="0"/>
          <w:sz w:val="36"/>
          <w:szCs w:val="36"/>
          <w:highlight w:val="none"/>
          <w:shd w:val="clear"/>
          <w:lang w:eastAsia="zh-CN"/>
        </w:rPr>
        <w:t>上</w:t>
      </w:r>
      <w:r>
        <w:rPr>
          <w:rStyle w:val="10"/>
          <w:rFonts w:hint="eastAsia" w:ascii="华文中宋" w:hAnsi="华文中宋" w:eastAsia="华文中宋" w:cs="宋体"/>
          <w:b w:val="0"/>
          <w:bCs w:val="0"/>
          <w:i w:val="0"/>
          <w:caps w:val="0"/>
          <w:color w:val="auto"/>
          <w:spacing w:val="0"/>
          <w:sz w:val="36"/>
          <w:szCs w:val="36"/>
          <w:highlight w:val="none"/>
          <w:shd w:val="clear"/>
        </w:rPr>
        <w:t>海农商银行探索“微贷模式”</w:t>
      </w: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auto"/>
          <w:spacing w:val="0"/>
          <w:sz w:val="36"/>
          <w:szCs w:val="36"/>
          <w:highlight w:val="none"/>
        </w:rPr>
      </w:pPr>
      <w:r>
        <w:rPr>
          <w:rStyle w:val="10"/>
          <w:rFonts w:hint="eastAsia" w:ascii="华文中宋" w:hAnsi="华文中宋" w:eastAsia="华文中宋" w:cs="宋体"/>
          <w:b w:val="0"/>
          <w:bCs w:val="0"/>
          <w:i w:val="0"/>
          <w:caps w:val="0"/>
          <w:color w:val="auto"/>
          <w:spacing w:val="0"/>
          <w:sz w:val="36"/>
          <w:szCs w:val="36"/>
          <w:highlight w:val="none"/>
          <w:shd w:val="clear"/>
        </w:rPr>
        <w:t>提升金融服务可得性、便利性</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2022年初，上海农商银行设立微贷中心，立足“本土金融、面向小微、信用为主、灵活高效”的作业特点，探索服务上海新市民的“微贷模式”，发挥“小额、信用、高效”优势，聚焦创业经营的金融需求，助力构建多层次的新市民普惠金融供给体系。自开业以来，上海农商银行微贷中心已经累计为小微企业主、个体工商户发放贷款近120笔，户均150万元，其中90%以上为来沪创业新市民。</w:t>
      </w:r>
    </w:p>
    <w:p>
      <w:pPr>
        <w:widowControl/>
        <w:autoSpaceDE w:val="0"/>
        <w:autoSpaceDN w:val="0"/>
        <w:adjustRightInd w:val="0"/>
        <w:ind w:firstLine="643"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楷体_GB2312"/>
          <w:b/>
          <w:color w:val="auto"/>
          <w:kern w:val="2"/>
          <w:sz w:val="32"/>
          <w:szCs w:val="32"/>
          <w:highlight w:val="none"/>
          <w:lang w:eastAsia="zh-CN" w:bidi="ar"/>
        </w:rPr>
        <w:t>聚焦小微，加强新市民创业就业信贷支持。</w:t>
      </w:r>
      <w:r>
        <w:rPr>
          <w:rFonts w:hint="eastAsia" w:ascii="Times New Roman" w:hAnsi="Times New Roman" w:eastAsia="仿宋_GB2312" w:cs="宋体"/>
          <w:color w:val="auto"/>
          <w:kern w:val="0"/>
          <w:sz w:val="32"/>
          <w:szCs w:val="32"/>
          <w:highlight w:val="none"/>
          <w:lang w:eastAsia="zh-CN" w:bidi="ar"/>
        </w:rPr>
        <w:t>微贷中心针对在沪新市民创业形式、收入特点、资金需求等因素的分析，重点聚焦新市民创业实际经营状况，注重第一还款来源，探索多元收入认定方式，推进“信用为主”的小微信贷产品投放增量扩面，重点支持小微企业和个体工商户。</w:t>
      </w:r>
    </w:p>
    <w:p>
      <w:pPr>
        <w:widowControl/>
        <w:autoSpaceDE w:val="0"/>
        <w:autoSpaceDN w:val="0"/>
        <w:adjustRightInd w:val="0"/>
        <w:ind w:firstLine="643"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楷体_GB2312"/>
          <w:b/>
          <w:color w:val="auto"/>
          <w:kern w:val="2"/>
          <w:sz w:val="32"/>
          <w:szCs w:val="32"/>
          <w:highlight w:val="none"/>
          <w:lang w:eastAsia="zh-CN" w:bidi="ar"/>
        </w:rPr>
        <w:t>换挡提速，提升新市民小微金融可获得效率。</w:t>
      </w:r>
      <w:r>
        <w:rPr>
          <w:rFonts w:hint="eastAsia" w:ascii="Times New Roman" w:hAnsi="Times New Roman" w:eastAsia="仿宋_GB2312" w:cs="宋体"/>
          <w:color w:val="auto"/>
          <w:kern w:val="0"/>
          <w:sz w:val="32"/>
          <w:szCs w:val="32"/>
          <w:highlight w:val="none"/>
          <w:lang w:eastAsia="zh-CN" w:bidi="ar"/>
        </w:rPr>
        <w:t>传统金融供给视角下，新市民工作及居住流动性高，缺乏标准抵押物因而金融资质普遍较弱，其金融服务需求具有“短、小、频、急”的特点。上海农商银行微贷中心一方面创新推出“微易贷”“微捷贷”两项信用融资产品，另一方面持续调整优化内部信贷流程，提升贷款审批作业效率，一般三个工作日即可完成贷款发放，提升新市民小微金融可获得效率。（上海农商银行）</w:t>
      </w: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0"/>
          <w:rFonts w:hint="eastAsia" w:ascii="华文中宋" w:hAnsi="华文中宋" w:eastAsia="华文中宋" w:cs="宋体"/>
          <w:b w:val="0"/>
          <w:bCs w:val="0"/>
          <w:i w:val="0"/>
          <w:caps w:val="0"/>
          <w:color w:val="auto"/>
          <w:spacing w:val="0"/>
          <w:sz w:val="36"/>
          <w:szCs w:val="36"/>
          <w:highlight w:val="none"/>
          <w:shd w:val="clear"/>
        </w:rPr>
      </w:pP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auto"/>
          <w:spacing w:val="0"/>
          <w:sz w:val="36"/>
          <w:szCs w:val="36"/>
          <w:highlight w:val="none"/>
        </w:rPr>
      </w:pPr>
      <w:r>
        <w:rPr>
          <w:rStyle w:val="10"/>
          <w:rFonts w:hint="eastAsia" w:ascii="华文中宋" w:hAnsi="华文中宋" w:eastAsia="华文中宋" w:cs="宋体"/>
          <w:b w:val="0"/>
          <w:bCs w:val="0"/>
          <w:i w:val="0"/>
          <w:caps w:val="0"/>
          <w:color w:val="auto"/>
          <w:spacing w:val="0"/>
          <w:sz w:val="36"/>
          <w:szCs w:val="36"/>
          <w:highlight w:val="none"/>
          <w:shd w:val="clear"/>
        </w:rPr>
        <w:t>浦发银行主承销市场首单碳资产债券</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近日，浦发银行独家主承销的市场首单碳资产债券——安徽省能源集团有限公司2022年度第四期超短期融资券（碳资产）在银行间市场成功发行。本期债券发行规模10亿元，期限260天，采取固定利率+浮动利率发行，浮动利率挂钩碳排放配额（CEA）收益率，固定利率最终锁定在1.8％。</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本期碳资产债券是全国碳交所开市一年后的国内首只碳市场交易与债券市场挂钩的债券。同时，该期碳资产债券创造了四项国内第一：全国第一只“碳资产”标识债券，全国第一只挂钩碳配额收益设计理念的债券产品，全国第一只实现全国碳市场交易和债券市场联动的环境权益浮动利率债券，全国第一只通过挂钩碳配额交易发挥市场化激励机制的债券。</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后续，浦发银行将继续坚持金融为民的初心使命，紧跟国家绿色金融、碳金融的政策导向，持续加大绿色金融产品创新和服务创新，持续打造碳金融创新的浦发样本，服务实体经济绿色低碳转型，助力债券市场高质量发展，为国家实现“双碳”目标贡献力量。（浦发银行）</w:t>
      </w:r>
    </w:p>
    <w:p>
      <w:pPr>
        <w:autoSpaceDE w:val="0"/>
        <w:autoSpaceDN w:val="0"/>
        <w:adjustRightInd w:val="0"/>
        <w:jc w:val="both"/>
        <w:rPr>
          <w:rFonts w:hint="eastAsia" w:ascii="Times New Roman" w:hAnsi="Times New Roman" w:eastAsia="仿宋_GB2312"/>
          <w:color w:val="auto"/>
          <w:sz w:val="32"/>
          <w:szCs w:val="32"/>
          <w:highlight w:val="none"/>
          <w:lang w:bidi="ar"/>
        </w:rPr>
      </w:pPr>
    </w:p>
    <w:p>
      <w:pPr>
        <w:widowControl w:val="0"/>
        <w:numPr>
          <w:ilvl w:val="0"/>
          <w:numId w:val="1"/>
        </w:numPr>
        <w:spacing w:after="156" w:afterLines="50"/>
        <w:ind w:right="-101" w:rightChars="-42"/>
        <w:rPr>
          <w:rFonts w:ascii="Times New Roman" w:hAnsi="Times New Roman" w:eastAsia="仿宋_GB2312"/>
          <w:color w:val="auto"/>
          <w:sz w:val="32"/>
          <w:szCs w:val="32"/>
          <w:highlight w:val="none"/>
          <w:lang w:bidi="ar"/>
        </w:rPr>
      </w:pPr>
      <w:r>
        <w:rPr>
          <w:rFonts w:hint="eastAsia" w:ascii="Times New Roman" w:hAnsi="Times New Roman" w:eastAsia="楷体_GB2312"/>
          <w:b/>
          <w:bCs/>
          <w:color w:val="auto"/>
          <w:sz w:val="32"/>
          <w:szCs w:val="32"/>
          <w:highlight w:val="none"/>
        </w:rPr>
        <w:t>国企之窗</w:t>
      </w:r>
    </w:p>
    <w:p>
      <w:pPr>
        <w:spacing w:after="156" w:afterLines="50"/>
        <w:jc w:val="center"/>
        <w:rPr>
          <w:rFonts w:hint="eastAsia" w:ascii="Times New Roman" w:hAnsi="Times New Roman" w:eastAsia="华文中宋" w:cs="华文中宋"/>
          <w:color w:val="auto"/>
          <w:sz w:val="36"/>
          <w:szCs w:val="36"/>
          <w:highlight w:val="none"/>
          <w:shd w:val="clear" w:color="auto" w:fill="FFFFFF"/>
          <w:lang w:eastAsia="zh-CN"/>
        </w:rPr>
      </w:pPr>
      <w:r>
        <w:rPr>
          <w:rFonts w:hint="eastAsia" w:ascii="Times New Roman" w:hAnsi="Times New Roman" w:eastAsia="华文中宋" w:cs="华文中宋"/>
          <w:color w:val="auto"/>
          <w:sz w:val="36"/>
          <w:szCs w:val="36"/>
          <w:highlight w:val="none"/>
          <w:shd w:val="clear" w:color="auto" w:fill="FFFFFF"/>
        </w:rPr>
        <w:t>上汽集团氢动力汽车投入商业化运营</w:t>
      </w:r>
    </w:p>
    <w:p>
      <w:pPr>
        <w:widowControl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bidi="ar"/>
        </w:rPr>
        <w:t>近日，在“国家燃料电池汽车示范应用·上海市第一批车辆集中发车仪式”上，上汽大通MAXUS MIFA氢燃料电池MPV、上汽红岩氢燃料电池重卡、上汽轻卡燃料电池冷链物流车共计410辆上汽燃料电池车（氢动力汽车）将投入商业化运营。</w:t>
      </w:r>
    </w:p>
    <w:p>
      <w:pPr>
        <w:widowControl w:val="0"/>
        <w:ind w:firstLine="643"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楷体_GB2312"/>
          <w:b/>
          <w:color w:val="auto"/>
          <w:kern w:val="2"/>
          <w:sz w:val="32"/>
          <w:szCs w:val="32"/>
          <w:highlight w:val="none"/>
          <w:lang w:bidi="ar"/>
        </w:rPr>
        <w:t>持续投入自主研发</w:t>
      </w:r>
      <w:r>
        <w:rPr>
          <w:rFonts w:hint="eastAsia" w:ascii="Times New Roman" w:hAnsi="Times New Roman" w:eastAsia="楷体_GB2312"/>
          <w:b/>
          <w:color w:val="auto"/>
          <w:kern w:val="2"/>
          <w:sz w:val="32"/>
          <w:szCs w:val="32"/>
          <w:highlight w:val="none"/>
          <w:lang w:eastAsia="zh-CN" w:bidi="ar"/>
        </w:rPr>
        <w:t>，</w:t>
      </w:r>
      <w:r>
        <w:rPr>
          <w:rFonts w:hint="eastAsia" w:ascii="Times New Roman" w:hAnsi="Times New Roman" w:eastAsia="楷体_GB2312"/>
          <w:b/>
          <w:color w:val="auto"/>
          <w:kern w:val="2"/>
          <w:sz w:val="32"/>
          <w:szCs w:val="32"/>
          <w:highlight w:val="none"/>
          <w:lang w:bidi="ar"/>
        </w:rPr>
        <w:t>对标国际顶尖水平</w:t>
      </w:r>
      <w:r>
        <w:rPr>
          <w:rFonts w:hint="eastAsia" w:ascii="Times New Roman" w:hAnsi="Times New Roman" w:eastAsia="楷体_GB2312"/>
          <w:b/>
          <w:color w:val="auto"/>
          <w:kern w:val="2"/>
          <w:sz w:val="32"/>
          <w:szCs w:val="32"/>
          <w:highlight w:val="none"/>
          <w:lang w:eastAsia="zh-CN" w:bidi="ar"/>
        </w:rPr>
        <w:t>。</w:t>
      </w:r>
      <w:r>
        <w:rPr>
          <w:rFonts w:hint="eastAsia" w:ascii="Times New Roman" w:hAnsi="Times New Roman" w:eastAsia="仿宋_GB2312"/>
          <w:color w:val="auto"/>
          <w:sz w:val="32"/>
          <w:szCs w:val="32"/>
          <w:highlight w:val="none"/>
          <w:lang w:eastAsia="zh-CN" w:bidi="ar"/>
        </w:rPr>
        <w:t>多年来上汽累计研发费用超过数十亿元，“燃料电池汽车关键技术研发及产业化项目”荣获“中国汽车工业科技进步奖”特等奖。2021年，上汽旗下捷氢科技推出捷氢启源M4H燃料电池电堆，完全自主设计开发，44个一级零部件全部实现国产化，自主化程度和国产化率均达到100%；</w:t>
      </w:r>
      <w:r>
        <w:rPr>
          <w:rFonts w:hint="eastAsia" w:ascii="Times New Roman" w:hAnsi="Times New Roman" w:eastAsia="楷体_GB2312"/>
          <w:b/>
          <w:color w:val="auto"/>
          <w:kern w:val="2"/>
          <w:sz w:val="32"/>
          <w:szCs w:val="32"/>
          <w:highlight w:val="none"/>
          <w:lang w:bidi="ar"/>
        </w:rPr>
        <w:t>多品种燃料电池车商业化落地</w:t>
      </w:r>
      <w:r>
        <w:rPr>
          <w:rFonts w:hint="eastAsia" w:ascii="Times New Roman" w:hAnsi="Times New Roman" w:eastAsia="楷体_GB2312"/>
          <w:b/>
          <w:color w:val="auto"/>
          <w:kern w:val="2"/>
          <w:sz w:val="32"/>
          <w:szCs w:val="32"/>
          <w:highlight w:val="none"/>
          <w:lang w:eastAsia="zh-CN" w:bidi="ar"/>
        </w:rPr>
        <w:t>，</w:t>
      </w:r>
      <w:r>
        <w:rPr>
          <w:rFonts w:hint="eastAsia" w:ascii="Times New Roman" w:hAnsi="Times New Roman" w:eastAsia="楷体_GB2312"/>
          <w:b/>
          <w:color w:val="auto"/>
          <w:kern w:val="2"/>
          <w:sz w:val="32"/>
          <w:szCs w:val="32"/>
          <w:highlight w:val="none"/>
          <w:lang w:bidi="ar"/>
        </w:rPr>
        <w:t>全球行业唯一</w:t>
      </w:r>
      <w:r>
        <w:rPr>
          <w:rFonts w:hint="eastAsia" w:ascii="Times New Roman" w:hAnsi="Times New Roman" w:eastAsia="楷体_GB2312"/>
          <w:b/>
          <w:color w:val="auto"/>
          <w:kern w:val="2"/>
          <w:sz w:val="32"/>
          <w:szCs w:val="32"/>
          <w:highlight w:val="none"/>
          <w:lang w:eastAsia="zh-CN" w:bidi="ar"/>
        </w:rPr>
        <w:t>。</w:t>
      </w:r>
      <w:r>
        <w:rPr>
          <w:rFonts w:hint="eastAsia" w:ascii="Times New Roman" w:hAnsi="Times New Roman" w:eastAsia="仿宋_GB2312"/>
          <w:color w:val="auto"/>
          <w:sz w:val="32"/>
          <w:szCs w:val="32"/>
          <w:highlight w:val="none"/>
          <w:lang w:bidi="ar"/>
        </w:rPr>
        <w:t>上汽是全球行业中唯一一家实现多品种燃料电池车商业化落地的企业，已推出轿车、MPV、轻客、大客车、轻卡、重卡等多款产品，在全国10余个城市实现商业化运营，总里程达到数百万公里。2014年，荣威750 燃料电池轿车成为国内首款实现公告的燃料电池乘用车。2016年，荣威950燃料电池轿车成为国内首款实现公告、销售和上牌的燃料电池轿车。2017年，大通FCV80燃料电池轻客成为国内最早实现商业化运营的燃料电池宽体轻客。2018年，申沃燃料电池大客车在上海嘉定114路公交线路上开展商业化运营。2020年，上汽跃进燃料电池物流车、燃料电池专用车登上工信部公告，上汽大通全球首款燃料电池MPV正式上市。</w:t>
      </w:r>
    </w:p>
    <w:p>
      <w:pPr>
        <w:widowControl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上汽集团顺应绿色低碳发展趋势，加快推动创新转型，培育差异化竞争力。在2025年前，推出至少十款燃料电池整车产品，建立起千人以上燃料电池研发运营团队，形成万辆级燃料电池整车产销规模，上汽捷氢科技达到百亿级市值。</w:t>
      </w:r>
      <w:r>
        <w:rPr>
          <w:rFonts w:hint="eastAsia" w:ascii="Times New Roman" w:hAnsi="Times New Roman" w:eastAsia="仿宋_GB2312"/>
          <w:color w:val="auto"/>
          <w:sz w:val="32"/>
          <w:szCs w:val="32"/>
          <w:highlight w:val="none"/>
          <w:lang w:bidi="ar"/>
        </w:rPr>
        <w:t>（</w:t>
      </w:r>
      <w:r>
        <w:rPr>
          <w:rFonts w:hint="eastAsia" w:ascii="Times New Roman" w:hAnsi="Times New Roman" w:eastAsia="仿宋_GB2312"/>
          <w:color w:val="auto"/>
          <w:sz w:val="32"/>
          <w:szCs w:val="32"/>
          <w:highlight w:val="none"/>
          <w:lang w:eastAsia="zh-CN" w:bidi="ar"/>
        </w:rPr>
        <w:t>上汽集团</w:t>
      </w:r>
      <w:r>
        <w:rPr>
          <w:rFonts w:hint="eastAsia" w:ascii="Times New Roman" w:hAnsi="Times New Roman" w:eastAsia="仿宋_GB2312"/>
          <w:color w:val="auto"/>
          <w:sz w:val="32"/>
          <w:szCs w:val="32"/>
          <w:highlight w:val="none"/>
          <w:lang w:bidi="ar"/>
        </w:rPr>
        <w:t>）</w:t>
      </w:r>
    </w:p>
    <w:p>
      <w:pPr>
        <w:widowControl w:val="0"/>
        <w:numPr>
          <w:ilvl w:val="0"/>
          <w:numId w:val="0"/>
        </w:numPr>
        <w:spacing w:after="156" w:afterLines="50"/>
        <w:ind w:leftChars="0" w:right="-101" w:rightChars="-42"/>
        <w:rPr>
          <w:rFonts w:hint="eastAsia" w:ascii="Times New Roman" w:hAnsi="Times New Roman" w:eastAsia="仿宋_GB2312"/>
          <w:color w:val="auto"/>
          <w:sz w:val="32"/>
          <w:szCs w:val="32"/>
          <w:highlight w:val="none"/>
          <w:lang w:eastAsia="zh-CN" w:bidi="ar"/>
        </w:rPr>
      </w:pPr>
    </w:p>
    <w:p>
      <w:pPr>
        <w:pStyle w:val="8"/>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上海虚拟体育公开赛全国首发</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近日，由久事集团下属上海久事体育产业发展（集团）有限公司主办的首届上海虚拟体育公开赛暨莓塔体育元宇宙开启。</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bidi="ar"/>
        </w:rPr>
        <w:t>作为国内首个虚拟体育综合性赛事，首届上海虚拟体育公开赛将包含赛艇、公路自行车、赛车、滑雪、高尔夫5项体育项目。在开幕现场举行的表演赛中，虚拟赛艇、虚拟公路自行车、虚拟赛车三个项目的参赛选手分别于上海外滩华尔道夫酒店、浦发银行东方体育中心、上海国际赛车场三大地标建筑通过数字技术接入比赛。在虚拟赛艇项目</w:t>
      </w:r>
      <w:r>
        <w:rPr>
          <w:rFonts w:hint="eastAsia" w:ascii="Times New Roman" w:hAnsi="Times New Roman" w:eastAsia="仿宋_GB2312"/>
          <w:color w:val="auto"/>
          <w:sz w:val="32"/>
          <w:szCs w:val="32"/>
          <w:highlight w:val="none"/>
          <w:lang w:eastAsia="zh-CN" w:bidi="ar"/>
        </w:rPr>
        <w:t>中</w:t>
      </w:r>
      <w:r>
        <w:rPr>
          <w:rFonts w:hint="eastAsia" w:ascii="Times New Roman" w:hAnsi="Times New Roman" w:eastAsia="仿宋_GB2312"/>
          <w:color w:val="auto"/>
          <w:sz w:val="32"/>
          <w:szCs w:val="32"/>
          <w:highlight w:val="none"/>
          <w:lang w:bidi="ar"/>
        </w:rPr>
        <w:t>，久事智慧体育邀请到2008年北京奥运会男子八人艇选手周意男，在元宇宙概念中</w:t>
      </w:r>
      <w:r>
        <w:rPr>
          <w:rFonts w:hint="eastAsia" w:ascii="Times New Roman" w:hAnsi="Times New Roman" w:eastAsia="仿宋_GB2312"/>
          <w:color w:val="auto"/>
          <w:sz w:val="32"/>
          <w:szCs w:val="32"/>
          <w:highlight w:val="none"/>
          <w:lang w:eastAsia="zh-CN" w:bidi="ar"/>
        </w:rPr>
        <w:t>与法国选手</w:t>
      </w:r>
      <w:r>
        <w:rPr>
          <w:rFonts w:hint="eastAsia" w:ascii="Times New Roman" w:hAnsi="Times New Roman" w:eastAsia="仿宋_GB2312"/>
          <w:color w:val="auto"/>
          <w:sz w:val="32"/>
          <w:szCs w:val="32"/>
          <w:highlight w:val="none"/>
          <w:lang w:bidi="ar"/>
        </w:rPr>
        <w:t>展开对决；在虚拟公路自行车项目中，骑行爱好者们与专业选手一较高下、检验自己的实力；在虚拟赛车项目中，汽车运动爱好者</w:t>
      </w:r>
      <w:r>
        <w:rPr>
          <w:rFonts w:hint="eastAsia" w:ascii="Times New Roman" w:hAnsi="Times New Roman" w:eastAsia="仿宋_GB2312"/>
          <w:color w:val="auto"/>
          <w:sz w:val="32"/>
          <w:szCs w:val="32"/>
          <w:highlight w:val="none"/>
          <w:lang w:eastAsia="zh-CN" w:bidi="ar"/>
        </w:rPr>
        <w:t>可</w:t>
      </w:r>
      <w:r>
        <w:rPr>
          <w:rFonts w:hint="eastAsia" w:ascii="Times New Roman" w:hAnsi="Times New Roman" w:eastAsia="仿宋_GB2312"/>
          <w:color w:val="auto"/>
          <w:sz w:val="32"/>
          <w:szCs w:val="32"/>
          <w:highlight w:val="none"/>
          <w:lang w:bidi="ar"/>
        </w:rPr>
        <w:t>与一位真实车手在虚拟场景中展开一场“模拟”</w:t>
      </w:r>
      <w:r>
        <w:rPr>
          <w:rFonts w:hint="eastAsia" w:ascii="Times New Roman" w:hAnsi="Times New Roman" w:eastAsia="仿宋_GB2312"/>
          <w:color w:val="auto"/>
          <w:sz w:val="32"/>
          <w:szCs w:val="32"/>
          <w:highlight w:val="none"/>
          <w:lang w:eastAsia="zh-CN" w:bidi="ar"/>
        </w:rPr>
        <w:t>与</w:t>
      </w:r>
      <w:r>
        <w:rPr>
          <w:rFonts w:hint="eastAsia" w:ascii="Times New Roman" w:hAnsi="Times New Roman" w:eastAsia="仿宋_GB2312"/>
          <w:color w:val="auto"/>
          <w:sz w:val="32"/>
          <w:szCs w:val="32"/>
          <w:highlight w:val="none"/>
          <w:lang w:bidi="ar"/>
        </w:rPr>
        <w:t>“真实”的对决。</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bidi="ar"/>
        </w:rPr>
        <w:t>首届上海虚拟体育公开赛覆盖多个赛区，赛事官方将与各个赛区的合作伙伴联合办赛，利用虚拟体育技术</w:t>
      </w:r>
      <w:r>
        <w:rPr>
          <w:rFonts w:hint="eastAsia" w:ascii="Times New Roman" w:hAnsi="Times New Roman" w:eastAsia="仿宋_GB2312"/>
          <w:color w:val="auto"/>
          <w:sz w:val="32"/>
          <w:szCs w:val="32"/>
          <w:highlight w:val="none"/>
          <w:lang w:eastAsia="zh-CN" w:bidi="ar"/>
        </w:rPr>
        <w:t>打破传统体育的地区局限性，</w:t>
      </w:r>
      <w:r>
        <w:rPr>
          <w:rFonts w:hint="eastAsia" w:ascii="Times New Roman" w:hAnsi="Times New Roman" w:eastAsia="仿宋_GB2312"/>
          <w:color w:val="auto"/>
          <w:sz w:val="32"/>
          <w:szCs w:val="32"/>
          <w:highlight w:val="none"/>
          <w:lang w:bidi="ar"/>
        </w:rPr>
        <w:t>连接全球热爱潮流运动生活的用户。</w:t>
      </w:r>
      <w:r>
        <w:rPr>
          <w:rFonts w:hint="eastAsia" w:ascii="Times New Roman" w:hAnsi="Times New Roman" w:eastAsia="仿宋_GB2312"/>
          <w:color w:val="auto"/>
          <w:sz w:val="32"/>
          <w:szCs w:val="32"/>
          <w:highlight w:val="none"/>
          <w:lang w:eastAsia="zh-CN" w:bidi="ar"/>
        </w:rPr>
        <w:t>（久事集团）</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p>
    <w:p>
      <w:pPr>
        <w:widowControl w:val="0"/>
        <w:spacing w:before="156" w:beforeLines="50" w:after="156" w:afterLines="50"/>
        <w:jc w:val="center"/>
        <w:rPr>
          <w:rFonts w:hint="eastAsia" w:ascii="Times New Roman" w:hAnsi="Times New Roman" w:eastAsia="华文中宋"/>
          <w:color w:val="auto"/>
          <w:sz w:val="36"/>
          <w:szCs w:val="36"/>
          <w:highlight w:val="none"/>
          <w:lang w:eastAsia="zh-CN"/>
        </w:rPr>
      </w:pPr>
      <w:r>
        <w:rPr>
          <w:rFonts w:hint="eastAsia" w:ascii="Times New Roman" w:hAnsi="Times New Roman" w:eastAsia="华文中宋"/>
          <w:color w:val="auto"/>
          <w:sz w:val="36"/>
          <w:szCs w:val="36"/>
          <w:highlight w:val="none"/>
          <w:lang w:eastAsia="zh-CN"/>
        </w:rPr>
        <w:t>东浩兰生集团精心筹备2022世界人工智能大会</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近日，东浩兰生集团承办的2022世界人工智能大会倒计时30天暨合作伙伴发布会举行。</w:t>
      </w:r>
      <w:r>
        <w:rPr>
          <w:rFonts w:hint="eastAsia" w:ascii="Times New Roman" w:hAnsi="Times New Roman" w:eastAsia="仿宋_GB2312"/>
          <w:color w:val="auto"/>
          <w:sz w:val="32"/>
          <w:szCs w:val="32"/>
          <w:highlight w:val="none"/>
          <w:lang w:bidi="ar"/>
        </w:rPr>
        <w:t>2022世界人工智能大会（2022WAIC）以“智联世界 元生无界”为主题，将于9月1日至3日以线上线下双线联动的方式举行。作为</w:t>
      </w:r>
      <w:r>
        <w:rPr>
          <w:rFonts w:hint="eastAsia" w:ascii="Times New Roman" w:hAnsi="Times New Roman" w:eastAsia="仿宋_GB2312"/>
          <w:color w:val="auto"/>
          <w:sz w:val="32"/>
          <w:szCs w:val="32"/>
          <w:highlight w:val="none"/>
          <w:lang w:eastAsia="zh-CN" w:bidi="ar"/>
        </w:rPr>
        <w:t>大会的</w:t>
      </w:r>
      <w:r>
        <w:rPr>
          <w:rFonts w:hint="eastAsia" w:ascii="Times New Roman" w:hAnsi="Times New Roman" w:eastAsia="仿宋_GB2312"/>
          <w:color w:val="auto"/>
          <w:sz w:val="32"/>
          <w:szCs w:val="32"/>
          <w:highlight w:val="none"/>
          <w:lang w:bidi="ar"/>
        </w:rPr>
        <w:t>承办方之一，东浩兰生集团组建了多个工作专班，从整体策划、论坛筹备、展览展示、媒体宣传、运营保障</w:t>
      </w:r>
      <w:r>
        <w:rPr>
          <w:rFonts w:hint="eastAsia" w:ascii="Times New Roman" w:hAnsi="Times New Roman" w:eastAsia="仿宋_GB2312"/>
          <w:color w:val="auto"/>
          <w:sz w:val="32"/>
          <w:szCs w:val="32"/>
          <w:highlight w:val="none"/>
          <w:lang w:eastAsia="zh-CN" w:bidi="ar"/>
        </w:rPr>
        <w:t>和</w:t>
      </w:r>
      <w:r>
        <w:rPr>
          <w:rFonts w:hint="eastAsia" w:ascii="Times New Roman" w:hAnsi="Times New Roman" w:eastAsia="仿宋_GB2312"/>
          <w:color w:val="auto"/>
          <w:sz w:val="32"/>
          <w:szCs w:val="32"/>
          <w:highlight w:val="none"/>
          <w:lang w:bidi="ar"/>
        </w:rPr>
        <w:t>应用体验等多个方面进行全面升级。</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b/>
          <w:color w:val="auto"/>
          <w:kern w:val="2"/>
          <w:sz w:val="32"/>
          <w:szCs w:val="32"/>
          <w:highlight w:val="none"/>
          <w:lang w:bidi="ar"/>
        </w:rPr>
        <w:t>精心设计高效组织，全力打造国际一流盛会</w:t>
      </w:r>
      <w:r>
        <w:rPr>
          <w:rFonts w:hint="eastAsia" w:ascii="Times New Roman" w:hAnsi="Times New Roman" w:eastAsia="楷体_GB2312"/>
          <w:b/>
          <w:color w:val="auto"/>
          <w:kern w:val="2"/>
          <w:sz w:val="32"/>
          <w:szCs w:val="32"/>
          <w:highlight w:val="none"/>
          <w:lang w:eastAsia="zh-CN" w:bidi="ar"/>
        </w:rPr>
        <w:t>。</w:t>
      </w:r>
      <w:r>
        <w:rPr>
          <w:rFonts w:hint="eastAsia" w:ascii="Times New Roman" w:hAnsi="Times New Roman" w:eastAsia="仿宋_GB2312"/>
          <w:color w:val="auto"/>
          <w:sz w:val="32"/>
          <w:szCs w:val="32"/>
          <w:highlight w:val="none"/>
          <w:lang w:eastAsia="zh-CN" w:bidi="ar"/>
        </w:rPr>
        <w:t>坚持“高端化、国际化、专业化、市场化、智能化”五化办会理念，按照“1+2+10+N”总体架构，集聚一大批国内外AI产业界、科学界、金融界等嘉宾；</w:t>
      </w:r>
      <w:r>
        <w:rPr>
          <w:rFonts w:hint="eastAsia" w:ascii="Times New Roman" w:hAnsi="Times New Roman" w:eastAsia="楷体_GB2312"/>
          <w:b/>
          <w:color w:val="auto"/>
          <w:kern w:val="2"/>
          <w:sz w:val="32"/>
          <w:szCs w:val="32"/>
          <w:highlight w:val="none"/>
          <w:lang w:eastAsia="zh-CN" w:bidi="ar"/>
        </w:rPr>
        <w:t>展览展示量质齐升，重点呈现元宇宙核心展。</w:t>
      </w:r>
      <w:r>
        <w:rPr>
          <w:rFonts w:hint="eastAsia" w:ascii="Times New Roman" w:hAnsi="Times New Roman" w:eastAsia="仿宋_GB2312"/>
          <w:color w:val="auto"/>
          <w:sz w:val="32"/>
          <w:szCs w:val="32"/>
          <w:highlight w:val="none"/>
          <w:lang w:eastAsia="zh-CN" w:bidi="ar"/>
        </w:rPr>
        <w:t>元宇宙核心展将结合WAIC五周年成果，从虚拟体验和现实展示两个维度，集中呈现上海人工智能产业和元宇宙新赛道发展情况；</w:t>
      </w:r>
      <w:r>
        <w:rPr>
          <w:rFonts w:hint="eastAsia" w:ascii="Times New Roman" w:hAnsi="Times New Roman" w:eastAsia="楷体_GB2312"/>
          <w:b/>
          <w:color w:val="auto"/>
          <w:kern w:val="2"/>
          <w:sz w:val="32"/>
          <w:szCs w:val="32"/>
          <w:highlight w:val="none"/>
          <w:lang w:eastAsia="zh-CN" w:bidi="ar"/>
        </w:rPr>
        <w:t>顶级赛事汇聚顶流，集中彰显前沿创新成果。</w:t>
      </w:r>
      <w:r>
        <w:rPr>
          <w:rFonts w:hint="eastAsia" w:ascii="Times New Roman" w:hAnsi="Times New Roman" w:eastAsia="仿宋_GB2312"/>
          <w:color w:val="auto"/>
          <w:sz w:val="32"/>
          <w:szCs w:val="32"/>
          <w:highlight w:val="none"/>
          <w:lang w:eastAsia="zh-CN" w:bidi="ar"/>
        </w:rPr>
        <w:t>发布会公布了SAIL奖（卓越人工智能引领者）TOP 30榜单。全球头部企业、国际知名高校、科研机构参与，元宇宙、智能芯片、AI大模型等热门赛道集结；</w:t>
      </w:r>
      <w:r>
        <w:rPr>
          <w:rFonts w:hint="eastAsia" w:ascii="Times New Roman" w:hAnsi="Times New Roman" w:eastAsia="楷体_GB2312"/>
          <w:b/>
          <w:color w:val="auto"/>
          <w:kern w:val="2"/>
          <w:sz w:val="32"/>
          <w:szCs w:val="32"/>
          <w:highlight w:val="none"/>
          <w:lang w:eastAsia="zh-CN" w:bidi="ar"/>
        </w:rPr>
        <w:t>超级应用聚焦落地，线上线下同步融合体验。</w:t>
      </w:r>
      <w:r>
        <w:rPr>
          <w:rFonts w:hint="eastAsia" w:ascii="Times New Roman" w:hAnsi="Times New Roman" w:eastAsia="仿宋_GB2312"/>
          <w:color w:val="auto"/>
          <w:sz w:val="32"/>
          <w:szCs w:val="32"/>
          <w:highlight w:val="none"/>
          <w:lang w:eastAsia="zh-CN" w:bidi="ar"/>
        </w:rPr>
        <w:t>以“星球元宇宙”为灵感进行整体设计，打造线上元宇宙会展新平台；围绕会场周边的智能化应用体验，打造AI元宇宙示范区。</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2022世界人工智能大会将有300余位嘉宾齐聚，近百场论坛覆盖技术创新、产业应用、法治伦理和生态建设四大领域30多个专业话题方向；15000平米展区参展企业近200家，首次参展企业超过30%，上海以外地区企业和国外企业占比超40%。（东浩兰生集团）</w:t>
      </w:r>
    </w:p>
    <w:p>
      <w:pPr>
        <w:widowControl w:val="0"/>
        <w:spacing w:after="0" w:afterLines="-2147483648"/>
        <w:ind w:right="0" w:rightChars="0"/>
        <w:jc w:val="both"/>
        <w:rPr>
          <w:rFonts w:hint="eastAsia" w:ascii="Times New Roman" w:hAnsi="Times New Roman" w:eastAsia="仿宋_GB2312"/>
          <w:color w:val="auto"/>
          <w:sz w:val="32"/>
          <w:szCs w:val="32"/>
          <w:highlight w:val="none"/>
          <w:lang w:eastAsia="zh-CN" w:bidi="ar"/>
        </w:rPr>
      </w:pPr>
    </w:p>
    <w:p>
      <w:pPr>
        <w:keepNext w:val="0"/>
        <w:keepLines w:val="0"/>
        <w:widowControl w:val="0"/>
        <w:suppressLineNumbers w:val="0"/>
        <w:spacing w:before="156" w:beforeLines="50" w:after="156" w:afterLines="5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上海建工建设320米申城最高双子塔张江“科学之门”</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bidi="ar"/>
        </w:rPr>
        <w:t>目前，由上海建工承建的“科学之门”双子塔正在张江科学建设中。双子塔东、西两塔楼所在地块总建筑面积近80万平方米，是兼具办公、酒店、商业、文化等多种高端业态于一体的超高层项目。</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楷体_GB2312"/>
          <w:b/>
          <w:color w:val="auto"/>
          <w:kern w:val="2"/>
          <w:sz w:val="32"/>
          <w:szCs w:val="32"/>
          <w:highlight w:val="none"/>
          <w:lang w:bidi="ar"/>
        </w:rPr>
        <w:t>向下，克服超深基坑同步施工难题</w:t>
      </w:r>
      <w:r>
        <w:rPr>
          <w:rFonts w:hint="eastAsia" w:ascii="Times New Roman" w:hAnsi="Times New Roman" w:eastAsia="楷体_GB2312"/>
          <w:b/>
          <w:color w:val="auto"/>
          <w:kern w:val="2"/>
          <w:sz w:val="32"/>
          <w:szCs w:val="32"/>
          <w:highlight w:val="none"/>
          <w:lang w:eastAsia="zh-CN" w:bidi="ar"/>
        </w:rPr>
        <w:t>。</w:t>
      </w:r>
      <w:r>
        <w:rPr>
          <w:rFonts w:hint="eastAsia" w:ascii="Times New Roman" w:hAnsi="Times New Roman" w:eastAsia="仿宋_GB2312"/>
          <w:color w:val="auto"/>
          <w:sz w:val="32"/>
          <w:szCs w:val="32"/>
          <w:highlight w:val="none"/>
          <w:lang w:bidi="ar"/>
        </w:rPr>
        <w:t>东塔项目采用了紧邻地铁深基坑微变形控制技术，有效加快基坑开挖速度，有效控制了基坑变形。西塔项目遵循“分层、分块、限时、对称开挖、严禁超挖”的原则，配足挖土机械人力，以最快的速度形成支撑及结构楼板，降低基坑变形对地铁的影响。</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楷体_GB2312"/>
          <w:b/>
          <w:color w:val="auto"/>
          <w:kern w:val="2"/>
          <w:sz w:val="32"/>
          <w:szCs w:val="32"/>
          <w:highlight w:val="none"/>
          <w:lang w:bidi="ar"/>
        </w:rPr>
        <w:t>向上，创新超高层建造装备体系</w:t>
      </w:r>
      <w:r>
        <w:rPr>
          <w:rFonts w:hint="eastAsia" w:ascii="Times New Roman" w:hAnsi="Times New Roman" w:eastAsia="楷体_GB2312"/>
          <w:b/>
          <w:color w:val="auto"/>
          <w:kern w:val="2"/>
          <w:sz w:val="32"/>
          <w:szCs w:val="32"/>
          <w:highlight w:val="none"/>
          <w:lang w:eastAsia="zh-CN" w:bidi="ar"/>
        </w:rPr>
        <w:t>。</w:t>
      </w:r>
      <w:r>
        <w:rPr>
          <w:rFonts w:hint="eastAsia" w:ascii="Times New Roman" w:hAnsi="Times New Roman" w:eastAsia="仿宋_GB2312"/>
          <w:color w:val="auto"/>
          <w:sz w:val="32"/>
          <w:szCs w:val="32"/>
          <w:highlight w:val="none"/>
          <w:lang w:bidi="ar"/>
        </w:rPr>
        <w:t>上海建工的第六代最新整体钢平台模架装备，集成了混凝土智能布料机、施工升降机等装备，以及装备爬升姿态动态监测、施工风险实时预警等自动化技术。针对超高斜向转换结构体系施工难题，形成了适应超高空施工安全控制要求的模块化装备技术。楼梯与剪力墙结构的同层施工，解决了超高空作业人员安全疏散难题。</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b/>
          <w:color w:val="auto"/>
          <w:kern w:val="2"/>
          <w:sz w:val="32"/>
          <w:szCs w:val="32"/>
          <w:highlight w:val="none"/>
          <w:lang w:eastAsia="zh-CN" w:bidi="ar"/>
        </w:rPr>
        <w:t>坚持数字化、工业化、绿色化建造。</w:t>
      </w:r>
      <w:r>
        <w:rPr>
          <w:rFonts w:hint="eastAsia" w:ascii="Times New Roman" w:hAnsi="Times New Roman" w:eastAsia="仿宋_GB2312"/>
          <w:color w:val="auto"/>
          <w:sz w:val="32"/>
          <w:szCs w:val="32"/>
          <w:highlight w:val="none"/>
          <w:lang w:eastAsia="zh-CN" w:bidi="ar"/>
        </w:rPr>
        <w:t>依托远程监控、智能芯片、大数据分析、云端服务、手机移动APP等手段，构建智慧工地管理平台。响应“双碳”战略，顺应建筑业减碳降碳的趋势，研发出超高层巨型劲性柱铝模板体系及施工工艺，实现工程全生命周期绿色化施工。同时，采用超大基坑绿色排水集水技术，将雨水统一导排至分区设置的集水箱中，循环利用收集的雨水。这个技术把基坑入水量降低了约40%，保证雨后栈桥4小时无明水，提高了基坑施工效率。（上海建工）</w:t>
      </w:r>
    </w:p>
    <w:p>
      <w:pPr>
        <w:widowControl w:val="0"/>
        <w:jc w:val="both"/>
        <w:rPr>
          <w:rFonts w:hint="eastAsia" w:ascii="Times New Roman" w:hAnsi="Times New Roman" w:eastAsia="仿宋_GB2312"/>
          <w:color w:val="auto"/>
          <w:sz w:val="32"/>
          <w:szCs w:val="32"/>
          <w:highlight w:val="none"/>
          <w:lang w:bidi="ar"/>
        </w:rPr>
      </w:pPr>
    </w:p>
    <w:p>
      <w:pPr>
        <w:keepNext w:val="0"/>
        <w:keepLines w:val="0"/>
        <w:widowControl w:val="0"/>
        <w:suppressLineNumbers w:val="0"/>
        <w:spacing w:before="156" w:beforeLines="50" w:after="156" w:afterLines="50"/>
        <w:jc w:val="cente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隧道股份中标宝鹏通道 助力“粤港澳大湾区”建设</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近日，隧道股份城建设计集团在粤港澳大湾区拿下重大工程——联合体中标深圳市宝鹏通道（广深高速-侨城东北延）工程。</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宝鹏通道是深圳“八横十三纵”高快速路网的重要组成部分，东起广深高速，西至侨城拱北沿立交段，线位途径南光立交节点、沙河西路匝道以及沙河西路东侧至侨城东北延立交段，工程全线涵盖地面道路、隧道、桥梁工程，全长约11.1公里，采用双向6车道快速路规模，设计车速60-80公里</w:t>
      </w:r>
      <w:r>
        <w:rPr>
          <w:rFonts w:hint="eastAsia" w:ascii="Times New Roman" w:hAnsi="Times New Roman" w:eastAsia="仿宋_GB2312"/>
          <w:color w:val="auto"/>
          <w:sz w:val="32"/>
          <w:szCs w:val="32"/>
          <w:highlight w:val="none"/>
          <w:lang w:val="en-US" w:eastAsia="zh-CN" w:bidi="ar"/>
        </w:rPr>
        <w:t>/小时</w:t>
      </w:r>
      <w:r>
        <w:rPr>
          <w:rFonts w:hint="eastAsia" w:ascii="Times New Roman" w:hAnsi="Times New Roman" w:eastAsia="仿宋_GB2312"/>
          <w:color w:val="auto"/>
          <w:sz w:val="32"/>
          <w:szCs w:val="32"/>
          <w:highlight w:val="none"/>
          <w:lang w:eastAsia="zh-CN" w:bidi="ar"/>
        </w:rPr>
        <w:t xml:space="preserve">。 </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该工程服务于深圳西部地区，是促进前海、南山、宝中等西部核心区融合发展以及高品质开发建设的需要，对缓解深圳第二圈交通压力具有重要作用，有助于支撑沿线区域发</w:t>
      </w:r>
      <w:r>
        <w:rPr>
          <w:rFonts w:hint="eastAsia" w:ascii="Times New Roman" w:hAnsi="Times New Roman" w:eastAsia="仿宋_GB2312"/>
          <w:color w:val="auto"/>
          <w:sz w:val="32"/>
          <w:szCs w:val="32"/>
          <w:highlight w:val="none"/>
          <w:lang w:bidi="ar"/>
        </w:rPr>
        <w:t>展</w:t>
      </w:r>
      <w:r>
        <w:rPr>
          <w:rFonts w:hint="eastAsia" w:ascii="Times New Roman" w:hAnsi="Times New Roman" w:eastAsia="仿宋_GB2312"/>
          <w:color w:val="auto"/>
          <w:sz w:val="32"/>
          <w:szCs w:val="32"/>
          <w:highlight w:val="none"/>
          <w:lang w:eastAsia="zh-CN" w:bidi="ar"/>
        </w:rPr>
        <w:t>，</w:t>
      </w:r>
      <w:r>
        <w:rPr>
          <w:rFonts w:hint="eastAsia" w:ascii="Times New Roman" w:hAnsi="Times New Roman" w:eastAsia="仿宋_GB2312"/>
          <w:color w:val="auto"/>
          <w:sz w:val="32"/>
          <w:szCs w:val="32"/>
          <w:highlight w:val="none"/>
          <w:lang w:bidi="ar"/>
        </w:rPr>
        <w:t>完善深圳高快路网格局。（</w:t>
      </w:r>
      <w:r>
        <w:rPr>
          <w:rFonts w:hint="eastAsia" w:ascii="Times New Roman" w:hAnsi="Times New Roman" w:eastAsia="仿宋_GB2312"/>
          <w:color w:val="auto"/>
          <w:sz w:val="32"/>
          <w:szCs w:val="32"/>
          <w:highlight w:val="none"/>
          <w:lang w:eastAsia="zh-CN" w:bidi="ar"/>
        </w:rPr>
        <w:t>隧道股份</w:t>
      </w:r>
      <w:r>
        <w:rPr>
          <w:rFonts w:hint="eastAsia" w:ascii="Times New Roman" w:hAnsi="Times New Roman" w:eastAsia="仿宋_GB2312"/>
          <w:color w:val="auto"/>
          <w:sz w:val="32"/>
          <w:szCs w:val="32"/>
          <w:highlight w:val="none"/>
          <w:lang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82953191"/>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12</w:t>
        </w:r>
        <w:r>
          <w:rPr>
            <w:rStyle w:val="1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62157374"/>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BFD353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8A6269"/>
    <w:rsid w:val="179700E2"/>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07EEB4"/>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68E0E"/>
    <w:rsid w:val="1F6DF702"/>
    <w:rsid w:val="1F7C289F"/>
    <w:rsid w:val="1F7FE508"/>
    <w:rsid w:val="1F8B2AE2"/>
    <w:rsid w:val="1F916AB3"/>
    <w:rsid w:val="1F953961"/>
    <w:rsid w:val="1FB1659D"/>
    <w:rsid w:val="1FC55C88"/>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AE00E"/>
    <w:rsid w:val="32572665"/>
    <w:rsid w:val="325A3079"/>
    <w:rsid w:val="325A6415"/>
    <w:rsid w:val="32627278"/>
    <w:rsid w:val="328178CA"/>
    <w:rsid w:val="32821FC4"/>
    <w:rsid w:val="32847D6D"/>
    <w:rsid w:val="32B11D6B"/>
    <w:rsid w:val="32D37DB5"/>
    <w:rsid w:val="32DE10A9"/>
    <w:rsid w:val="32FF7915"/>
    <w:rsid w:val="331E20AC"/>
    <w:rsid w:val="332A73EA"/>
    <w:rsid w:val="33983728"/>
    <w:rsid w:val="33A34936"/>
    <w:rsid w:val="33D5E67C"/>
    <w:rsid w:val="33D91377"/>
    <w:rsid w:val="34071D68"/>
    <w:rsid w:val="343B70D4"/>
    <w:rsid w:val="34693182"/>
    <w:rsid w:val="346A2930"/>
    <w:rsid w:val="348D4D8F"/>
    <w:rsid w:val="34B61205"/>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FC6AD2"/>
    <w:rsid w:val="3A040F3C"/>
    <w:rsid w:val="3A192D6D"/>
    <w:rsid w:val="3A1A63DF"/>
    <w:rsid w:val="3A3B7A62"/>
    <w:rsid w:val="3A5610EA"/>
    <w:rsid w:val="3A5B32CD"/>
    <w:rsid w:val="3A7F3AB6"/>
    <w:rsid w:val="3A8B75BA"/>
    <w:rsid w:val="3A900B55"/>
    <w:rsid w:val="3AB74E7B"/>
    <w:rsid w:val="3AD44EE6"/>
    <w:rsid w:val="3AD7E7A5"/>
    <w:rsid w:val="3ADB3D07"/>
    <w:rsid w:val="3AEF9B9E"/>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AFFAC1"/>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2378"/>
    <w:rsid w:val="3F7B2D8C"/>
    <w:rsid w:val="3F87756C"/>
    <w:rsid w:val="3FB64E89"/>
    <w:rsid w:val="3FBB10F7"/>
    <w:rsid w:val="3FBFB2C1"/>
    <w:rsid w:val="3FC62645"/>
    <w:rsid w:val="3FCB7D3B"/>
    <w:rsid w:val="3FD87226"/>
    <w:rsid w:val="3FDA6FFE"/>
    <w:rsid w:val="3FE26C71"/>
    <w:rsid w:val="3FF71C39"/>
    <w:rsid w:val="3FF736A7"/>
    <w:rsid w:val="3FFBD45F"/>
    <w:rsid w:val="3FFF5F02"/>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E55A96"/>
    <w:rsid w:val="4FE79ABF"/>
    <w:rsid w:val="4FE81398"/>
    <w:rsid w:val="4FF55DC3"/>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D7B4A1"/>
    <w:rsid w:val="55D8633C"/>
    <w:rsid w:val="55E40DAC"/>
    <w:rsid w:val="55F253AA"/>
    <w:rsid w:val="55F63222"/>
    <w:rsid w:val="55F84CE8"/>
    <w:rsid w:val="55FB8DBC"/>
    <w:rsid w:val="55FEBC10"/>
    <w:rsid w:val="56384F6E"/>
    <w:rsid w:val="563A2710"/>
    <w:rsid w:val="564E4841"/>
    <w:rsid w:val="56AF0889"/>
    <w:rsid w:val="56BA1E1F"/>
    <w:rsid w:val="56DA179D"/>
    <w:rsid w:val="56F51D94"/>
    <w:rsid w:val="57014E5D"/>
    <w:rsid w:val="570B1D0C"/>
    <w:rsid w:val="57542D95"/>
    <w:rsid w:val="575541D7"/>
    <w:rsid w:val="57883D23"/>
    <w:rsid w:val="5799F0CD"/>
    <w:rsid w:val="579F3F38"/>
    <w:rsid w:val="57BA001E"/>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B192DE9"/>
    <w:rsid w:val="5B27113D"/>
    <w:rsid w:val="5B579E81"/>
    <w:rsid w:val="5B5D7E1A"/>
    <w:rsid w:val="5B922491"/>
    <w:rsid w:val="5B922B0E"/>
    <w:rsid w:val="5BBAF074"/>
    <w:rsid w:val="5BC12FED"/>
    <w:rsid w:val="5BC9BE4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7191B"/>
    <w:rsid w:val="5ECF10BB"/>
    <w:rsid w:val="5ECF1B47"/>
    <w:rsid w:val="5EDF286E"/>
    <w:rsid w:val="5F0E45BB"/>
    <w:rsid w:val="5F15112E"/>
    <w:rsid w:val="5F271A1F"/>
    <w:rsid w:val="5F376CB1"/>
    <w:rsid w:val="5F3C2ED6"/>
    <w:rsid w:val="5F42EA54"/>
    <w:rsid w:val="5F4E479B"/>
    <w:rsid w:val="5F697EE8"/>
    <w:rsid w:val="5F7059D3"/>
    <w:rsid w:val="5F7FCE7D"/>
    <w:rsid w:val="5F7FEE71"/>
    <w:rsid w:val="5F9F9504"/>
    <w:rsid w:val="5FAA5CF4"/>
    <w:rsid w:val="5FBBDFFB"/>
    <w:rsid w:val="5FDB1D9D"/>
    <w:rsid w:val="5FDC329F"/>
    <w:rsid w:val="5FE01AB3"/>
    <w:rsid w:val="5FEA90A8"/>
    <w:rsid w:val="5FF432C2"/>
    <w:rsid w:val="5FF7CE4D"/>
    <w:rsid w:val="5FF7E204"/>
    <w:rsid w:val="5FFB3B6D"/>
    <w:rsid w:val="5FFCB8C1"/>
    <w:rsid w:val="5FFD53A6"/>
    <w:rsid w:val="5FFE6C12"/>
    <w:rsid w:val="5FFEA0C9"/>
    <w:rsid w:val="5FFEED4F"/>
    <w:rsid w:val="5FFF1780"/>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C30398"/>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F6F19D"/>
    <w:rsid w:val="67FC3283"/>
    <w:rsid w:val="67FD652A"/>
    <w:rsid w:val="67FFEC90"/>
    <w:rsid w:val="68112ADA"/>
    <w:rsid w:val="685AC63C"/>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6A02C3"/>
    <w:rsid w:val="6B7068D7"/>
    <w:rsid w:val="6B77103C"/>
    <w:rsid w:val="6B7E6B96"/>
    <w:rsid w:val="6B843095"/>
    <w:rsid w:val="6B8FA36D"/>
    <w:rsid w:val="6BBE919F"/>
    <w:rsid w:val="6BE85984"/>
    <w:rsid w:val="6BEC17E0"/>
    <w:rsid w:val="6BFA7971"/>
    <w:rsid w:val="6C032026"/>
    <w:rsid w:val="6C037118"/>
    <w:rsid w:val="6C57857B"/>
    <w:rsid w:val="6C7563DF"/>
    <w:rsid w:val="6C793548"/>
    <w:rsid w:val="6CA1DA52"/>
    <w:rsid w:val="6D1A54F0"/>
    <w:rsid w:val="6D1F7E3A"/>
    <w:rsid w:val="6D374F86"/>
    <w:rsid w:val="6D7F9542"/>
    <w:rsid w:val="6D8053C3"/>
    <w:rsid w:val="6D8F45DB"/>
    <w:rsid w:val="6DA265FA"/>
    <w:rsid w:val="6DB34CEB"/>
    <w:rsid w:val="6DB81974"/>
    <w:rsid w:val="6DBDBABD"/>
    <w:rsid w:val="6DD733CE"/>
    <w:rsid w:val="6DDFCBBA"/>
    <w:rsid w:val="6DE30DE0"/>
    <w:rsid w:val="6DE77FDB"/>
    <w:rsid w:val="6DE9321C"/>
    <w:rsid w:val="6DEF0D1B"/>
    <w:rsid w:val="6DFBF63B"/>
    <w:rsid w:val="6DFE5138"/>
    <w:rsid w:val="6E0650EF"/>
    <w:rsid w:val="6E0C43BB"/>
    <w:rsid w:val="6E1732CA"/>
    <w:rsid w:val="6E3904DB"/>
    <w:rsid w:val="6E3A5F81"/>
    <w:rsid w:val="6E4C47B8"/>
    <w:rsid w:val="6E564512"/>
    <w:rsid w:val="6E6A4988"/>
    <w:rsid w:val="6E7C568B"/>
    <w:rsid w:val="6E9F9ADB"/>
    <w:rsid w:val="6EA14B04"/>
    <w:rsid w:val="6EAD14EE"/>
    <w:rsid w:val="6EBC4FFE"/>
    <w:rsid w:val="6EBF36B1"/>
    <w:rsid w:val="6EBF51DC"/>
    <w:rsid w:val="6EC35CE7"/>
    <w:rsid w:val="6EE8132F"/>
    <w:rsid w:val="6EF3EF09"/>
    <w:rsid w:val="6F3A4CB1"/>
    <w:rsid w:val="6F656188"/>
    <w:rsid w:val="6F78732B"/>
    <w:rsid w:val="6F797765"/>
    <w:rsid w:val="6FCD0DC3"/>
    <w:rsid w:val="6FD985FF"/>
    <w:rsid w:val="6FEEBE7B"/>
    <w:rsid w:val="6FF13E8D"/>
    <w:rsid w:val="6FF6057A"/>
    <w:rsid w:val="6FF60D7F"/>
    <w:rsid w:val="6FF9CD3E"/>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529E2C"/>
    <w:rsid w:val="71833BD0"/>
    <w:rsid w:val="719A0BB7"/>
    <w:rsid w:val="71A845E4"/>
    <w:rsid w:val="71BE95FE"/>
    <w:rsid w:val="71C33C4E"/>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DF7F9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91781"/>
    <w:rsid w:val="75FD1071"/>
    <w:rsid w:val="75FD8C3E"/>
    <w:rsid w:val="75FF1DDF"/>
    <w:rsid w:val="75FF4D97"/>
    <w:rsid w:val="760B1A49"/>
    <w:rsid w:val="7629B897"/>
    <w:rsid w:val="76495766"/>
    <w:rsid w:val="765406AD"/>
    <w:rsid w:val="766964A3"/>
    <w:rsid w:val="76A20C6A"/>
    <w:rsid w:val="76AE068B"/>
    <w:rsid w:val="76B30508"/>
    <w:rsid w:val="76C010E3"/>
    <w:rsid w:val="76DDA6E0"/>
    <w:rsid w:val="76EF1C31"/>
    <w:rsid w:val="76FF0475"/>
    <w:rsid w:val="77031578"/>
    <w:rsid w:val="77107706"/>
    <w:rsid w:val="77407E24"/>
    <w:rsid w:val="77477B66"/>
    <w:rsid w:val="77550B7C"/>
    <w:rsid w:val="775A6197"/>
    <w:rsid w:val="777789B3"/>
    <w:rsid w:val="77A646EE"/>
    <w:rsid w:val="77BAB806"/>
    <w:rsid w:val="77BDBAF2"/>
    <w:rsid w:val="77C81353"/>
    <w:rsid w:val="77DD9A0A"/>
    <w:rsid w:val="77DF1E38"/>
    <w:rsid w:val="77DF6393"/>
    <w:rsid w:val="77E45CCE"/>
    <w:rsid w:val="77EBE7E4"/>
    <w:rsid w:val="77EC519A"/>
    <w:rsid w:val="77EDF40F"/>
    <w:rsid w:val="77EF3313"/>
    <w:rsid w:val="77F04406"/>
    <w:rsid w:val="77FA66B5"/>
    <w:rsid w:val="77FE1662"/>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5D2FDA"/>
    <w:rsid w:val="796564A1"/>
    <w:rsid w:val="797057FE"/>
    <w:rsid w:val="797AA848"/>
    <w:rsid w:val="79990BA0"/>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F414C"/>
    <w:rsid w:val="7B1A0118"/>
    <w:rsid w:val="7B510186"/>
    <w:rsid w:val="7B640A94"/>
    <w:rsid w:val="7B6A0FC6"/>
    <w:rsid w:val="7B7712BA"/>
    <w:rsid w:val="7B8D4BA2"/>
    <w:rsid w:val="7BBF7D2D"/>
    <w:rsid w:val="7BBFBDD9"/>
    <w:rsid w:val="7BDF0F0E"/>
    <w:rsid w:val="7BE73057"/>
    <w:rsid w:val="7BF51326"/>
    <w:rsid w:val="7BFFBA14"/>
    <w:rsid w:val="7BFFFDF0"/>
    <w:rsid w:val="7C042B76"/>
    <w:rsid w:val="7C0DC28B"/>
    <w:rsid w:val="7C63789C"/>
    <w:rsid w:val="7C72BC48"/>
    <w:rsid w:val="7C961A20"/>
    <w:rsid w:val="7CBB19BD"/>
    <w:rsid w:val="7CC11C19"/>
    <w:rsid w:val="7CD03A2F"/>
    <w:rsid w:val="7CD673E6"/>
    <w:rsid w:val="7CDF7A3C"/>
    <w:rsid w:val="7CF04396"/>
    <w:rsid w:val="7CF401B4"/>
    <w:rsid w:val="7CF86A7C"/>
    <w:rsid w:val="7CFE9A73"/>
    <w:rsid w:val="7CFF6711"/>
    <w:rsid w:val="7CFFBBF6"/>
    <w:rsid w:val="7D0B72D7"/>
    <w:rsid w:val="7D27D221"/>
    <w:rsid w:val="7D3924E1"/>
    <w:rsid w:val="7D3E395D"/>
    <w:rsid w:val="7D6B282B"/>
    <w:rsid w:val="7D72477A"/>
    <w:rsid w:val="7D913F95"/>
    <w:rsid w:val="7D9B55EE"/>
    <w:rsid w:val="7DAA5F1C"/>
    <w:rsid w:val="7DBE6850"/>
    <w:rsid w:val="7DBF0BFB"/>
    <w:rsid w:val="7DBF4391"/>
    <w:rsid w:val="7DDF1E58"/>
    <w:rsid w:val="7DDF6B79"/>
    <w:rsid w:val="7DDFD140"/>
    <w:rsid w:val="7DED7670"/>
    <w:rsid w:val="7DEF74B9"/>
    <w:rsid w:val="7DF63207"/>
    <w:rsid w:val="7DF8A239"/>
    <w:rsid w:val="7DFB7EE4"/>
    <w:rsid w:val="7DFE55FF"/>
    <w:rsid w:val="7DFE65B0"/>
    <w:rsid w:val="7DFF71A5"/>
    <w:rsid w:val="7E052833"/>
    <w:rsid w:val="7E1664EC"/>
    <w:rsid w:val="7E1A21DD"/>
    <w:rsid w:val="7E1B8D10"/>
    <w:rsid w:val="7E3FD544"/>
    <w:rsid w:val="7E414658"/>
    <w:rsid w:val="7E50097B"/>
    <w:rsid w:val="7E5A696A"/>
    <w:rsid w:val="7E5F5996"/>
    <w:rsid w:val="7E684FE0"/>
    <w:rsid w:val="7E976E76"/>
    <w:rsid w:val="7E9B3C8F"/>
    <w:rsid w:val="7E9FF47D"/>
    <w:rsid w:val="7EA63C5A"/>
    <w:rsid w:val="7EA6506C"/>
    <w:rsid w:val="7EBF9F9E"/>
    <w:rsid w:val="7EC76812"/>
    <w:rsid w:val="7ECBF843"/>
    <w:rsid w:val="7ED345C6"/>
    <w:rsid w:val="7EDF33AF"/>
    <w:rsid w:val="7EDF9C1A"/>
    <w:rsid w:val="7EE07FBC"/>
    <w:rsid w:val="7EF6BA1B"/>
    <w:rsid w:val="7EFCE2EF"/>
    <w:rsid w:val="7EFF7C28"/>
    <w:rsid w:val="7EFFB51D"/>
    <w:rsid w:val="7EFFF8E0"/>
    <w:rsid w:val="7F3344D2"/>
    <w:rsid w:val="7F374BD2"/>
    <w:rsid w:val="7F3EF109"/>
    <w:rsid w:val="7F3FA9E6"/>
    <w:rsid w:val="7F412798"/>
    <w:rsid w:val="7F56C5CB"/>
    <w:rsid w:val="7F613DD0"/>
    <w:rsid w:val="7F642662"/>
    <w:rsid w:val="7F65EC78"/>
    <w:rsid w:val="7F668CE0"/>
    <w:rsid w:val="7F6F2316"/>
    <w:rsid w:val="7F6FDE85"/>
    <w:rsid w:val="7F7BA113"/>
    <w:rsid w:val="7F7CD479"/>
    <w:rsid w:val="7F7F7E1A"/>
    <w:rsid w:val="7F7FD183"/>
    <w:rsid w:val="7F8E7414"/>
    <w:rsid w:val="7F9FBAF7"/>
    <w:rsid w:val="7FA78FE5"/>
    <w:rsid w:val="7FAB0DC6"/>
    <w:rsid w:val="7FB33C48"/>
    <w:rsid w:val="7FB59996"/>
    <w:rsid w:val="7FBD886B"/>
    <w:rsid w:val="7FC42C6F"/>
    <w:rsid w:val="7FC70D26"/>
    <w:rsid w:val="7FCD7385"/>
    <w:rsid w:val="7FCE0A7B"/>
    <w:rsid w:val="7FD10921"/>
    <w:rsid w:val="7FD797CC"/>
    <w:rsid w:val="7FDB73AA"/>
    <w:rsid w:val="7FDFA58C"/>
    <w:rsid w:val="7FDFC67D"/>
    <w:rsid w:val="7FE26D6E"/>
    <w:rsid w:val="7FE4A1E4"/>
    <w:rsid w:val="7FE9BE57"/>
    <w:rsid w:val="7FEB5C47"/>
    <w:rsid w:val="7FF3521E"/>
    <w:rsid w:val="7FF3C86D"/>
    <w:rsid w:val="7FF74440"/>
    <w:rsid w:val="7FF77983"/>
    <w:rsid w:val="7FFA3EF9"/>
    <w:rsid w:val="7FFAEA40"/>
    <w:rsid w:val="7FFD5B09"/>
    <w:rsid w:val="7FFD7C09"/>
    <w:rsid w:val="7FFDB997"/>
    <w:rsid w:val="7FFDBA6F"/>
    <w:rsid w:val="7FFEC749"/>
    <w:rsid w:val="7FFF1FF6"/>
    <w:rsid w:val="7FFF78DC"/>
    <w:rsid w:val="7FFF7DC9"/>
    <w:rsid w:val="7FFFAA6A"/>
    <w:rsid w:val="7FFFF65E"/>
    <w:rsid w:val="8F3F1F3D"/>
    <w:rsid w:val="99DF7708"/>
    <w:rsid w:val="9AF95D50"/>
    <w:rsid w:val="9CBFEA14"/>
    <w:rsid w:val="9D72D5BA"/>
    <w:rsid w:val="9DEF280E"/>
    <w:rsid w:val="9DFEEF3A"/>
    <w:rsid w:val="9E3955F3"/>
    <w:rsid w:val="9E6B7339"/>
    <w:rsid w:val="9EF670B2"/>
    <w:rsid w:val="9EFECCC2"/>
    <w:rsid w:val="9EFFE6E8"/>
    <w:rsid w:val="9FAF4F67"/>
    <w:rsid w:val="9FFF52DD"/>
    <w:rsid w:val="A1F34BD9"/>
    <w:rsid w:val="A3BEC521"/>
    <w:rsid w:val="A473835B"/>
    <w:rsid w:val="A5F1E8E7"/>
    <w:rsid w:val="A6FC09BA"/>
    <w:rsid w:val="AAFC54E8"/>
    <w:rsid w:val="ABEF319C"/>
    <w:rsid w:val="ACFFC1AE"/>
    <w:rsid w:val="AEF76386"/>
    <w:rsid w:val="AEFF1721"/>
    <w:rsid w:val="AEFFE6A1"/>
    <w:rsid w:val="AF6FD3DE"/>
    <w:rsid w:val="AF7F57D0"/>
    <w:rsid w:val="AFAF0645"/>
    <w:rsid w:val="AFBDBDD7"/>
    <w:rsid w:val="AFDE11E1"/>
    <w:rsid w:val="AFFA4E97"/>
    <w:rsid w:val="AFFEFBE6"/>
    <w:rsid w:val="AFFFDCA8"/>
    <w:rsid w:val="B0BC83CE"/>
    <w:rsid w:val="B3B959F4"/>
    <w:rsid w:val="B5D796BD"/>
    <w:rsid w:val="B5FF93D4"/>
    <w:rsid w:val="B7278174"/>
    <w:rsid w:val="B76F7F9D"/>
    <w:rsid w:val="B7DF6920"/>
    <w:rsid w:val="B7EEFB99"/>
    <w:rsid w:val="B7EFBEC5"/>
    <w:rsid w:val="BA7B23C6"/>
    <w:rsid w:val="BAFD0431"/>
    <w:rsid w:val="BB7E507B"/>
    <w:rsid w:val="BBBD0F18"/>
    <w:rsid w:val="BBBD5052"/>
    <w:rsid w:val="BBCE6A08"/>
    <w:rsid w:val="BBEBA678"/>
    <w:rsid w:val="BC7B0866"/>
    <w:rsid w:val="BCBAA610"/>
    <w:rsid w:val="BCCFB9EB"/>
    <w:rsid w:val="BD159B47"/>
    <w:rsid w:val="BD5F9C39"/>
    <w:rsid w:val="BD9E6A5B"/>
    <w:rsid w:val="BDBF3C4C"/>
    <w:rsid w:val="BDDF1D90"/>
    <w:rsid w:val="BDFDABC8"/>
    <w:rsid w:val="BDFF569A"/>
    <w:rsid w:val="BDFF7D51"/>
    <w:rsid w:val="BE332371"/>
    <w:rsid w:val="BE5B2936"/>
    <w:rsid w:val="BE679F46"/>
    <w:rsid w:val="BED7A7AE"/>
    <w:rsid w:val="BEEF4F54"/>
    <w:rsid w:val="BEFA91F8"/>
    <w:rsid w:val="BF5E30CB"/>
    <w:rsid w:val="BF69B727"/>
    <w:rsid w:val="BFAD0A5B"/>
    <w:rsid w:val="BFBFF975"/>
    <w:rsid w:val="BFDF4577"/>
    <w:rsid w:val="BFE0A2C8"/>
    <w:rsid w:val="BFF1AB59"/>
    <w:rsid w:val="BFF95C8C"/>
    <w:rsid w:val="BFFB5F1D"/>
    <w:rsid w:val="BFFF23D7"/>
    <w:rsid w:val="C3B70622"/>
    <w:rsid w:val="C4B7CC1C"/>
    <w:rsid w:val="C52D4053"/>
    <w:rsid w:val="C557193B"/>
    <w:rsid w:val="C6FF6AF0"/>
    <w:rsid w:val="C7E75DCE"/>
    <w:rsid w:val="C7F79355"/>
    <w:rsid w:val="C9FEBEBF"/>
    <w:rsid w:val="CBD3D240"/>
    <w:rsid w:val="CBDFDB75"/>
    <w:rsid w:val="CBEF6020"/>
    <w:rsid w:val="CBFF0587"/>
    <w:rsid w:val="CD1ED750"/>
    <w:rsid w:val="CFAE57BC"/>
    <w:rsid w:val="CFFADD31"/>
    <w:rsid w:val="D13EFE29"/>
    <w:rsid w:val="D176162E"/>
    <w:rsid w:val="D27BA209"/>
    <w:rsid w:val="D2FBD6E4"/>
    <w:rsid w:val="D47FAF2C"/>
    <w:rsid w:val="D6A7B808"/>
    <w:rsid w:val="D6DFF190"/>
    <w:rsid w:val="D7CFD767"/>
    <w:rsid w:val="D7FC25F6"/>
    <w:rsid w:val="D8770DC2"/>
    <w:rsid w:val="D89DA7C4"/>
    <w:rsid w:val="D96F6EA3"/>
    <w:rsid w:val="DAAA1B64"/>
    <w:rsid w:val="DB7F0A3B"/>
    <w:rsid w:val="DBD754C0"/>
    <w:rsid w:val="DBDECA1E"/>
    <w:rsid w:val="DBEFC53B"/>
    <w:rsid w:val="DBF58F63"/>
    <w:rsid w:val="DBFC3819"/>
    <w:rsid w:val="DBFF13D9"/>
    <w:rsid w:val="DD87AC26"/>
    <w:rsid w:val="DDD7C64C"/>
    <w:rsid w:val="DDF9E743"/>
    <w:rsid w:val="DDFAF6CE"/>
    <w:rsid w:val="DE776E97"/>
    <w:rsid w:val="DECF2995"/>
    <w:rsid w:val="DED57C2F"/>
    <w:rsid w:val="DF3E572B"/>
    <w:rsid w:val="DF7EFC34"/>
    <w:rsid w:val="DF9F823D"/>
    <w:rsid w:val="DFBE840B"/>
    <w:rsid w:val="DFD6988B"/>
    <w:rsid w:val="DFDB1FE6"/>
    <w:rsid w:val="DFF31655"/>
    <w:rsid w:val="DFF33E34"/>
    <w:rsid w:val="DFFE22AA"/>
    <w:rsid w:val="DFFF2A30"/>
    <w:rsid w:val="DFFF84C9"/>
    <w:rsid w:val="E3933C23"/>
    <w:rsid w:val="E4FEAD11"/>
    <w:rsid w:val="E5FE16B2"/>
    <w:rsid w:val="E6A99FDA"/>
    <w:rsid w:val="E6BF6061"/>
    <w:rsid w:val="E6D79DB9"/>
    <w:rsid w:val="E6F7D7EF"/>
    <w:rsid w:val="E6FB339E"/>
    <w:rsid w:val="E77EA97D"/>
    <w:rsid w:val="E7BFA7C5"/>
    <w:rsid w:val="E7C345E7"/>
    <w:rsid w:val="E7DE2F6E"/>
    <w:rsid w:val="E7FE450A"/>
    <w:rsid w:val="E8BB4510"/>
    <w:rsid w:val="E96B3B4D"/>
    <w:rsid w:val="EA8F4B62"/>
    <w:rsid w:val="EAEFF623"/>
    <w:rsid w:val="EAFB1617"/>
    <w:rsid w:val="EAFB4255"/>
    <w:rsid w:val="EB3CE8B4"/>
    <w:rsid w:val="EBA70D36"/>
    <w:rsid w:val="EC7B6969"/>
    <w:rsid w:val="ED8B1048"/>
    <w:rsid w:val="EDBCA700"/>
    <w:rsid w:val="EDCF953F"/>
    <w:rsid w:val="EDEDCE19"/>
    <w:rsid w:val="EDEF653B"/>
    <w:rsid w:val="EE4F8CA7"/>
    <w:rsid w:val="EE7665A8"/>
    <w:rsid w:val="EEA5AFD2"/>
    <w:rsid w:val="EEBD427A"/>
    <w:rsid w:val="EEEEBC80"/>
    <w:rsid w:val="EF1E49F5"/>
    <w:rsid w:val="EF7370BD"/>
    <w:rsid w:val="EF7DB1B0"/>
    <w:rsid w:val="EF7EE24E"/>
    <w:rsid w:val="EF7F9619"/>
    <w:rsid w:val="EFD76993"/>
    <w:rsid w:val="EFF1C90F"/>
    <w:rsid w:val="EFF726FE"/>
    <w:rsid w:val="EFF7C5D5"/>
    <w:rsid w:val="EFFB5498"/>
    <w:rsid w:val="EFFC757B"/>
    <w:rsid w:val="EFFF0F2E"/>
    <w:rsid w:val="EFFFC3AF"/>
    <w:rsid w:val="F1670070"/>
    <w:rsid w:val="F1771572"/>
    <w:rsid w:val="F22F0E4B"/>
    <w:rsid w:val="F29ED2C8"/>
    <w:rsid w:val="F2F0090F"/>
    <w:rsid w:val="F2F5EB34"/>
    <w:rsid w:val="F2FF5829"/>
    <w:rsid w:val="F35E39B9"/>
    <w:rsid w:val="F3BFD672"/>
    <w:rsid w:val="F3C7BE51"/>
    <w:rsid w:val="F3FBC58F"/>
    <w:rsid w:val="F49D257D"/>
    <w:rsid w:val="F4FF4D52"/>
    <w:rsid w:val="F5DF10E6"/>
    <w:rsid w:val="F5EF4CE2"/>
    <w:rsid w:val="F5F76D0E"/>
    <w:rsid w:val="F6F1A6B9"/>
    <w:rsid w:val="F6FE73CB"/>
    <w:rsid w:val="F732AC09"/>
    <w:rsid w:val="F7396B9E"/>
    <w:rsid w:val="F779A7F1"/>
    <w:rsid w:val="F7A34AFD"/>
    <w:rsid w:val="F7BEA3A8"/>
    <w:rsid w:val="F7D59AC5"/>
    <w:rsid w:val="F7D79EA9"/>
    <w:rsid w:val="F7DE316A"/>
    <w:rsid w:val="F7DF7768"/>
    <w:rsid w:val="F7DFAB18"/>
    <w:rsid w:val="F7DFD6F7"/>
    <w:rsid w:val="F7E7528D"/>
    <w:rsid w:val="F7E7E79E"/>
    <w:rsid w:val="F7EF9CC6"/>
    <w:rsid w:val="F7EFFDF5"/>
    <w:rsid w:val="F7FEC24A"/>
    <w:rsid w:val="F7FEFFFB"/>
    <w:rsid w:val="F83F357C"/>
    <w:rsid w:val="F8FEBBBF"/>
    <w:rsid w:val="F96B792C"/>
    <w:rsid w:val="F96FD6A8"/>
    <w:rsid w:val="F9C729BB"/>
    <w:rsid w:val="F9FEC6B5"/>
    <w:rsid w:val="FA1FE0CE"/>
    <w:rsid w:val="FA7DCAB7"/>
    <w:rsid w:val="FAE763BF"/>
    <w:rsid w:val="FB2FA4A8"/>
    <w:rsid w:val="FB3B684F"/>
    <w:rsid w:val="FB3ED808"/>
    <w:rsid w:val="FB5BD086"/>
    <w:rsid w:val="FB737563"/>
    <w:rsid w:val="FB7563FE"/>
    <w:rsid w:val="FB9E9514"/>
    <w:rsid w:val="FBAF00D6"/>
    <w:rsid w:val="FBDBA6F9"/>
    <w:rsid w:val="FBDFA387"/>
    <w:rsid w:val="FBE71C25"/>
    <w:rsid w:val="FBF2FC9A"/>
    <w:rsid w:val="FBFA1A4A"/>
    <w:rsid w:val="FBFC0C31"/>
    <w:rsid w:val="FBFF19A4"/>
    <w:rsid w:val="FBFF4C7F"/>
    <w:rsid w:val="FBFFA817"/>
    <w:rsid w:val="FCE36C2F"/>
    <w:rsid w:val="FD175450"/>
    <w:rsid w:val="FD4F8490"/>
    <w:rsid w:val="FD7C472A"/>
    <w:rsid w:val="FD7D42ED"/>
    <w:rsid w:val="FD96F1F9"/>
    <w:rsid w:val="FDCC5D92"/>
    <w:rsid w:val="FDDB0E04"/>
    <w:rsid w:val="FDDF5990"/>
    <w:rsid w:val="FDF1C64A"/>
    <w:rsid w:val="FDF3B2B3"/>
    <w:rsid w:val="FDF7E316"/>
    <w:rsid w:val="FDF9C39F"/>
    <w:rsid w:val="FDFB05C8"/>
    <w:rsid w:val="FDFE1223"/>
    <w:rsid w:val="FDFEF644"/>
    <w:rsid w:val="FDFF3529"/>
    <w:rsid w:val="FDFFE92E"/>
    <w:rsid w:val="FE6FD691"/>
    <w:rsid w:val="FE83F7A8"/>
    <w:rsid w:val="FE9EB501"/>
    <w:rsid w:val="FEA350BD"/>
    <w:rsid w:val="FEAF0EC4"/>
    <w:rsid w:val="FEDEBB0D"/>
    <w:rsid w:val="FEEB7AF3"/>
    <w:rsid w:val="FEEE8048"/>
    <w:rsid w:val="FEFAC1F4"/>
    <w:rsid w:val="FF3B3EAC"/>
    <w:rsid w:val="FF3F01F6"/>
    <w:rsid w:val="FF45046D"/>
    <w:rsid w:val="FF4917E2"/>
    <w:rsid w:val="FF5A93C2"/>
    <w:rsid w:val="FF5EDB19"/>
    <w:rsid w:val="FF662C8F"/>
    <w:rsid w:val="FF6753AA"/>
    <w:rsid w:val="FF6E178B"/>
    <w:rsid w:val="FF6ED252"/>
    <w:rsid w:val="FF751C20"/>
    <w:rsid w:val="FF7A57A5"/>
    <w:rsid w:val="FF7F866E"/>
    <w:rsid w:val="FF7F89A8"/>
    <w:rsid w:val="FF7FC72D"/>
    <w:rsid w:val="FF7FDC6C"/>
    <w:rsid w:val="FF911BAB"/>
    <w:rsid w:val="FF9DA432"/>
    <w:rsid w:val="FFAE883F"/>
    <w:rsid w:val="FFAF0F00"/>
    <w:rsid w:val="FFB78824"/>
    <w:rsid w:val="FFB9FE5A"/>
    <w:rsid w:val="FFBF1F67"/>
    <w:rsid w:val="FFBF45F0"/>
    <w:rsid w:val="FFBFC5E6"/>
    <w:rsid w:val="FFCA874D"/>
    <w:rsid w:val="FFCBCC61"/>
    <w:rsid w:val="FFCEA1F3"/>
    <w:rsid w:val="FFCF40BA"/>
    <w:rsid w:val="FFCF8511"/>
    <w:rsid w:val="FFDD4562"/>
    <w:rsid w:val="FFDE10B8"/>
    <w:rsid w:val="FFDF3D66"/>
    <w:rsid w:val="FFE7004C"/>
    <w:rsid w:val="FFE7D7F2"/>
    <w:rsid w:val="FFEB7359"/>
    <w:rsid w:val="FFEDA709"/>
    <w:rsid w:val="FFEFA9EF"/>
    <w:rsid w:val="FFF25BE8"/>
    <w:rsid w:val="FFF73939"/>
    <w:rsid w:val="FFFA9034"/>
    <w:rsid w:val="FFFD723B"/>
    <w:rsid w:val="FFFE091D"/>
    <w:rsid w:val="FFFF14E0"/>
    <w:rsid w:val="FFFF218B"/>
    <w:rsid w:val="FFFF382F"/>
    <w:rsid w:val="FFFF6054"/>
    <w:rsid w:val="FFFF8693"/>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customStyle="1" w:styleId="14">
    <w:name w:val="js_darkmode__2"/>
    <w:basedOn w:val="10"/>
    <w:qFormat/>
    <w:uiPriority w:val="0"/>
  </w:style>
  <w:style w:type="character" w:customStyle="1" w:styleId="15">
    <w:name w:val="js_darkmode__3"/>
    <w:basedOn w:val="10"/>
    <w:qFormat/>
    <w:uiPriority w:val="0"/>
  </w:style>
  <w:style w:type="character" w:customStyle="1" w:styleId="16">
    <w:name w:val="js_darkmode__4"/>
    <w:basedOn w:val="10"/>
    <w:qFormat/>
    <w:uiPriority w:val="0"/>
  </w:style>
  <w:style w:type="character" w:customStyle="1" w:styleId="17">
    <w:name w:val="js_darkmode__5"/>
    <w:basedOn w:val="10"/>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10"/>
    <w:link w:val="5"/>
    <w:qFormat/>
    <w:uiPriority w:val="0"/>
    <w:rPr>
      <w:rFonts w:ascii="宋体" w:hAnsi="宋体" w:cs="宋体"/>
      <w:sz w:val="18"/>
      <w:szCs w:val="18"/>
    </w:rPr>
  </w:style>
  <w:style w:type="character" w:customStyle="1" w:styleId="20">
    <w:name w:val="apple-converted-space"/>
    <w:basedOn w:val="10"/>
    <w:qFormat/>
    <w:uiPriority w:val="0"/>
  </w:style>
  <w:style w:type="character" w:customStyle="1" w:styleId="21">
    <w:name w:val="notice_header_subtitle_date"/>
    <w:basedOn w:val="10"/>
    <w:qFormat/>
    <w:uiPriority w:val="0"/>
  </w:style>
  <w:style w:type="character" w:customStyle="1" w:styleId="22">
    <w:name w:val="notice_header_subtitle_author"/>
    <w:basedOn w:val="10"/>
    <w:qFormat/>
    <w:uiPriority w:val="0"/>
  </w:style>
  <w:style w:type="character" w:customStyle="1" w:styleId="23">
    <w:name w:val="js_darkmode__19"/>
    <w:basedOn w:val="10"/>
    <w:qFormat/>
    <w:uiPriority w:val="0"/>
  </w:style>
  <w:style w:type="character" w:customStyle="1" w:styleId="24">
    <w:name w:val="js_darkmode__27"/>
    <w:basedOn w:val="10"/>
    <w:qFormat/>
    <w:uiPriority w:val="0"/>
  </w:style>
  <w:style w:type="character" w:customStyle="1" w:styleId="25">
    <w:name w:val="js_darkmode__35"/>
    <w:basedOn w:val="10"/>
    <w:qFormat/>
    <w:uiPriority w:val="0"/>
  </w:style>
  <w:style w:type="paragraph" w:customStyle="1" w:styleId="26">
    <w:name w:val="修订1"/>
    <w:hidden/>
    <w:semiHidden/>
    <w:qFormat/>
    <w:uiPriority w:val="99"/>
    <w:rPr>
      <w:rFonts w:ascii="宋体" w:hAnsi="宋体" w:eastAsia="宋体" w:cs="宋体"/>
      <w:sz w:val="24"/>
      <w:szCs w:val="24"/>
      <w:lang w:val="en-US" w:eastAsia="zh-CN" w:bidi="ar-SA"/>
    </w:rPr>
  </w:style>
  <w:style w:type="character" w:customStyle="1" w:styleId="27">
    <w:name w:val="wx_tap_link"/>
    <w:basedOn w:val="10"/>
    <w:qFormat/>
    <w:uiPriority w:val="0"/>
  </w:style>
  <w:style w:type="character" w:customStyle="1" w:styleId="28">
    <w:name w:val="rich_media_meta"/>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3</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2022-04-23T13:49:00Z</dcterms:created>
  <dc:creator>user</dc:creator>
  <cp:lastModifiedBy>user</cp:lastModifiedBy>
  <cp:lastPrinted>2022-05-03T03:24:00Z</cp:lastPrinted>
  <dcterms:modified xsi:type="dcterms:W3CDTF">2022-08-15T15:47:05Z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