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上海仪电参与编制国内首个</w:t>
      </w:r>
      <w:r>
        <w:rPr>
          <w:rFonts w:hint="eastAsia"/>
          <w:b/>
          <w:bCs/>
          <w:sz w:val="28"/>
          <w:szCs w:val="28"/>
        </w:rPr>
        <w:t>云管理服务提供商能力要求标准</w:t>
      </w:r>
      <w:r>
        <w:rPr>
          <w:rFonts w:hint="eastAsia"/>
          <w:b/>
          <w:bCs/>
          <w:sz w:val="28"/>
          <w:szCs w:val="28"/>
          <w:lang w:eastAsia="zh-CN"/>
        </w:rPr>
        <w:t>正式发布</w:t>
      </w:r>
    </w:p>
    <w:bookmarkEnd w:id="0"/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月3日，由中国信息通信研究院主办、中国IDC圈协办的“2019云计算开源产业大会”在北京举行。会上，上海仪电旗下多家企业参与编制的国内首个云MSP能力要求标准——《云管理服务提供商能力要求》系列标准正式发布，标志着上海仪电在云计算领域的专业能力得到了行业的充分肯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前，随着云计算的普及应用，越来越多的企业为提升业务能力，选择将应用和数据迁移到云上。企业上云的需求增长，催生了企业对平台选择、系统迁移、多云管理、安全防护、咨询和管理，即“云管理服务提供商（云MSP）”服务的需求。在此背景下，《云管理服务提供商能力要求》系列标准应运而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介绍，该标准包含咨询、迁移、管理三个部分，由中国信通院牵头组织编写，上海仪电旗下智慧城市设计院、上海南洋万邦软件技术有限公司、北京信诺时代科技发展有限公司为主要参编单位。此外，贝斯平、紫光云、数梦工场、浪潮云等知名企业也参与了标准编写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作为上海仪电“7+1+2”智慧城市产业链的重要组成部分，上海仪电近年来在云计算和大数据领域持续深耕，旗下智慧城市设计院、南洋万邦、北京信诺时代等业务单元均在相关领域取得了创新突破和显著成果。此次参与国内首个云管理服务提供商能力要求标准的编制工作，上海仪电高度重视，组织各业务单元进行了多次研讨交流，为标准成功编制发布做出了重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63B6"/>
    <w:rsid w:val="1BAA6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2019-07-16T06:17:00Z</dcterms:created>
  <dc:creator>sherry</dc:creator>
  <cp:lastModifiedBy>sherry</cp:lastModifiedBy>
  <dcterms:modified xsi:type="dcterms:W3CDTF">2019-07-16T06:18:22Z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