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1F233" w14:textId="77777777" w:rsidR="00404C8A"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1F6544C7" w14:textId="77777777" w:rsidR="00404C8A" w:rsidRDefault="00000000">
      <w:pPr>
        <w:widowControl w:val="0"/>
        <w:spacing w:line="480" w:lineRule="exact"/>
        <w:ind w:rightChars="-42" w:right="-101"/>
        <w:jc w:val="center"/>
        <w:rPr>
          <w:b/>
          <w:sz w:val="32"/>
        </w:rPr>
      </w:pPr>
      <w:r>
        <w:rPr>
          <w:rFonts w:hint="eastAsia"/>
          <w:b/>
          <w:sz w:val="32"/>
        </w:rPr>
        <w:t>第11期</w:t>
      </w:r>
    </w:p>
    <w:p w14:paraId="0B0C4D41" w14:textId="77777777" w:rsidR="00404C8A" w:rsidRDefault="00404C8A">
      <w:pPr>
        <w:widowControl w:val="0"/>
        <w:spacing w:line="480" w:lineRule="exact"/>
        <w:ind w:rightChars="-42" w:right="-101"/>
        <w:jc w:val="center"/>
        <w:rPr>
          <w:b/>
          <w:sz w:val="32"/>
        </w:rPr>
      </w:pPr>
    </w:p>
    <w:p w14:paraId="71FC6A9C" w14:textId="77777777" w:rsidR="00404C8A"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7B92E51E" w14:textId="2BA78DE8" w:rsidR="00404C8A"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23年4月</w:t>
      </w:r>
      <w:r w:rsidR="00CA2FAC">
        <w:rPr>
          <w:rFonts w:ascii="楷体_GB2312" w:eastAsia="楷体_GB2312"/>
          <w:spacing w:val="-14"/>
          <w:sz w:val="28"/>
          <w:u w:val="single" w:color="FF0000"/>
        </w:rPr>
        <w:t>3</w:t>
      </w:r>
      <w:r>
        <w:rPr>
          <w:rFonts w:ascii="楷体_GB2312" w:eastAsia="楷体_GB2312" w:hint="eastAsia"/>
          <w:spacing w:val="-14"/>
          <w:sz w:val="28"/>
          <w:u w:val="single" w:color="FF0000"/>
        </w:rPr>
        <w:t>日</w:t>
      </w:r>
    </w:p>
    <w:p w14:paraId="4D6CB93E" w14:textId="77777777" w:rsidR="00404C8A" w:rsidRDefault="00404C8A">
      <w:pPr>
        <w:pStyle w:val="2"/>
        <w:widowControl w:val="0"/>
      </w:pPr>
    </w:p>
    <w:p w14:paraId="5F0B576A" w14:textId="77777777" w:rsidR="00404C8A"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重要动态</w:t>
      </w:r>
    </w:p>
    <w:p w14:paraId="512559D2" w14:textId="77777777" w:rsidR="00404C8A"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构建和谐消费环境</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上海国资国企在行动</w:t>
      </w:r>
    </w:p>
    <w:p w14:paraId="20F39EBD" w14:textId="77777777" w:rsidR="00404C8A" w:rsidRDefault="00000000">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为维护广大消费者合法权益，助力上海国际消费中心城市建设，近期，上海国资国企多措并举，用实际行动构建和谐健康的消费环境。</w:t>
      </w:r>
    </w:p>
    <w:p w14:paraId="3D1D7D25" w14:textId="77777777" w:rsidR="00404C8A" w:rsidRDefault="00000000">
      <w:pPr>
        <w:widowControl w:val="0"/>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上海国盛集团</w:t>
      </w:r>
      <w:r>
        <w:rPr>
          <w:rFonts w:ascii="Times New Roman" w:eastAsia="仿宋_GB2312" w:hAnsi="Times New Roman" w:hint="eastAsia"/>
          <w:sz w:val="32"/>
          <w:szCs w:val="32"/>
          <w:lang w:bidi="ar"/>
        </w:rPr>
        <w:t>作为上海市属国资运营平台，积极履行国有企业的社会责任，参与上海市消费者保护权益基金会的成立，通过调动社会力量，实现消费者权益保护资金和资源的多元化供给。基金会紧紧围绕更好满足人民对美好生活向往这一目标，紧密对接市消保委的重点工作任务，全力维护消费者合法权益，全力支持上海国际消费中心城市建设。上海国盛集团被授予</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年度“上海市消费者权益保护贡献集体”。</w:t>
      </w:r>
    </w:p>
    <w:p w14:paraId="2F56CF08" w14:textId="77777777" w:rsidR="00404C8A" w:rsidRDefault="00000000">
      <w:pPr>
        <w:widowControl w:val="0"/>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lastRenderedPageBreak/>
        <w:t>浦发银行</w:t>
      </w:r>
      <w:r>
        <w:rPr>
          <w:rFonts w:ascii="Times New Roman" w:eastAsia="仿宋_GB2312" w:hAnsi="Times New Roman" w:hint="eastAsia"/>
          <w:sz w:val="32"/>
          <w:szCs w:val="32"/>
          <w:lang w:bidi="ar"/>
        </w:rPr>
        <w:t>上海分行近日在全辖范围内全面启动</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15</w:t>
      </w:r>
      <w:r>
        <w:rPr>
          <w:rFonts w:ascii="Times New Roman" w:eastAsia="仿宋_GB2312" w:hAnsi="Times New Roman" w:hint="eastAsia"/>
          <w:sz w:val="32"/>
          <w:szCs w:val="32"/>
          <w:lang w:bidi="ar"/>
        </w:rPr>
        <w:t>消费者权益保护教育宣传周”活动。活动期间，浦发银行上海分行以全辖</w:t>
      </w:r>
      <w:r>
        <w:rPr>
          <w:rFonts w:ascii="Times New Roman" w:eastAsia="仿宋_GB2312" w:hAnsi="Times New Roman" w:hint="eastAsia"/>
          <w:sz w:val="32"/>
          <w:szCs w:val="32"/>
          <w:lang w:bidi="ar"/>
        </w:rPr>
        <w:t>185</w:t>
      </w:r>
      <w:r>
        <w:rPr>
          <w:rFonts w:ascii="Times New Roman" w:eastAsia="仿宋_GB2312" w:hAnsi="Times New Roman" w:hint="eastAsia"/>
          <w:sz w:val="32"/>
          <w:szCs w:val="32"/>
          <w:lang w:bidi="ar"/>
        </w:rPr>
        <w:t>个营业网点为宣传主阵地，在厅堂电子屏滚动播放本次活动宣传海报和活动口号，在厅堂公众教育专栏（区）张贴活动海报并摆放金融知识宣传手册和折页，全面营造网点宣传氛围。宣传周期间，浦发银行上海分行辖内</w:t>
      </w:r>
      <w:r>
        <w:rPr>
          <w:rFonts w:ascii="Times New Roman" w:eastAsia="仿宋_GB2312" w:hAnsi="Times New Roman" w:hint="eastAsia"/>
          <w:sz w:val="32"/>
          <w:szCs w:val="32"/>
          <w:lang w:bidi="ar"/>
        </w:rPr>
        <w:t>29</w:t>
      </w:r>
      <w:r>
        <w:rPr>
          <w:rFonts w:ascii="Times New Roman" w:eastAsia="仿宋_GB2312" w:hAnsi="Times New Roman" w:hint="eastAsia"/>
          <w:sz w:val="32"/>
          <w:szCs w:val="32"/>
          <w:lang w:bidi="ar"/>
        </w:rPr>
        <w:t>家支行在网点内设立金融知识宣教点，安排金融知识宣导员，向广大消费者开展宣传讲解的同时接受咨询。</w:t>
      </w:r>
    </w:p>
    <w:p w14:paraId="30513089" w14:textId="77777777" w:rsidR="00404C8A" w:rsidRDefault="00000000">
      <w:pPr>
        <w:widowControl w:val="0"/>
        <w:ind w:firstLineChars="200" w:firstLine="643"/>
        <w:jc w:val="both"/>
      </w:pPr>
      <w:r>
        <w:rPr>
          <w:rFonts w:ascii="Times New Roman" w:eastAsia="仿宋_GB2312" w:hAnsi="Times New Roman" w:hint="eastAsia"/>
          <w:b/>
          <w:bCs/>
          <w:sz w:val="32"/>
          <w:szCs w:val="32"/>
          <w:lang w:bidi="ar"/>
        </w:rPr>
        <w:t>上海银行</w:t>
      </w:r>
      <w:r>
        <w:rPr>
          <w:rFonts w:ascii="Times New Roman" w:eastAsia="仿宋_GB2312" w:hAnsi="Times New Roman" w:hint="eastAsia"/>
          <w:sz w:val="32"/>
          <w:szCs w:val="32"/>
          <w:lang w:bidi="ar"/>
        </w:rPr>
        <w:t>积极组织开展常态化金融教育和集中性金融知识普及活动，不断增强金融“软实力”。通过官网、手机银行、微信公众号等线上平台设置宣传教育专区，设计发布“防范电信诈骗陷阱”“反诈防骗</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守护养老钱”“防范非法集资”“守护个人信息</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拒做‘透明人’”等一系列长图文、微视频，让金融知识融入消费者日常金融服务场景，在潜移默化中提升消费者金融素养和风险意识。</w:t>
      </w:r>
    </w:p>
    <w:p w14:paraId="35BFCE50" w14:textId="77777777" w:rsidR="00404C8A" w:rsidRDefault="00000000">
      <w:pPr>
        <w:widowControl w:val="0"/>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国泰君安</w:t>
      </w:r>
      <w:r>
        <w:rPr>
          <w:rFonts w:ascii="Times New Roman" w:eastAsia="仿宋_GB2312" w:hAnsi="Times New Roman" w:hint="eastAsia"/>
          <w:sz w:val="32"/>
          <w:szCs w:val="32"/>
          <w:lang w:bidi="ar"/>
        </w:rPr>
        <w:t>为做好全面实行股票发行注册制投资者教育保护工作，积极引导投资者客观看待和理解全面实行注册制的意义和作用，理性参与投资。以</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15</w:t>
      </w:r>
      <w:r>
        <w:rPr>
          <w:rFonts w:ascii="Times New Roman" w:eastAsia="仿宋_GB2312" w:hAnsi="Times New Roman" w:hint="eastAsia"/>
          <w:sz w:val="32"/>
          <w:szCs w:val="32"/>
          <w:lang w:bidi="ar"/>
        </w:rPr>
        <w:t>国际消费者权益日为契机，开展“</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15</w:t>
      </w:r>
      <w:r>
        <w:rPr>
          <w:rFonts w:ascii="Times New Roman" w:eastAsia="仿宋_GB2312" w:hAnsi="Times New Roman" w:hint="eastAsia"/>
          <w:sz w:val="32"/>
          <w:szCs w:val="32"/>
          <w:lang w:bidi="ar"/>
        </w:rPr>
        <w:t>投资者保护主题教育系列活动”、“全面注册制”专项主题活动，于近期在浦东新区陆家嘴软件园开展“全面注册制，改革向未来”为主题的公益志愿宣传活</w:t>
      </w:r>
      <w:r>
        <w:rPr>
          <w:rFonts w:ascii="Times New Roman" w:eastAsia="仿宋_GB2312" w:hAnsi="Times New Roman" w:hint="eastAsia"/>
          <w:sz w:val="32"/>
          <w:szCs w:val="32"/>
          <w:lang w:bidi="ar"/>
        </w:rPr>
        <w:lastRenderedPageBreak/>
        <w:t>动。通过传递全面实行注册制的积极意义、主要思路、相关举措，深化投资者对注册制内涵的理解，增进投资者对全面实行注册制改革的认同，进一步树立理性投资、价值投资、长期投资的理念。</w:t>
      </w:r>
    </w:p>
    <w:p w14:paraId="1A5AA509" w14:textId="77777777" w:rsidR="00404C8A" w:rsidRDefault="00000000">
      <w:pPr>
        <w:widowControl w:val="0"/>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海通证券</w:t>
      </w:r>
      <w:r>
        <w:rPr>
          <w:rFonts w:ascii="Times New Roman" w:eastAsia="仿宋_GB2312" w:hAnsi="Times New Roman" w:hint="eastAsia"/>
          <w:sz w:val="32"/>
          <w:szCs w:val="32"/>
          <w:lang w:bidi="ar"/>
        </w:rPr>
        <w:t>为维护广大投资者合法权益，理性参与投资，深度解读全面实行注册制的制度安排、运行机制，海通证券投教基地结合</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15</w:t>
      </w:r>
      <w:r>
        <w:rPr>
          <w:rFonts w:ascii="Times New Roman" w:eastAsia="仿宋_GB2312" w:hAnsi="Times New Roman" w:hint="eastAsia"/>
          <w:sz w:val="32"/>
          <w:szCs w:val="32"/>
          <w:lang w:bidi="ar"/>
        </w:rPr>
        <w:t>消费者权益日，将节日主题与金融知识普及、防范非法证券期货圈套等内容相结合，通过规则讲解、政策宣导及理性投资教育，有效提升公众参与度，帮助投资者客观全面了解全面注册制下的投资机会和投资风险，助力改革平稳落地。通过电视、报纸、官微、视频号、</w:t>
      </w:r>
      <w:r>
        <w:rPr>
          <w:rFonts w:ascii="Times New Roman" w:eastAsia="仿宋_GB2312" w:hAnsi="Times New Roman" w:hint="eastAsia"/>
          <w:sz w:val="32"/>
          <w:szCs w:val="32"/>
          <w:lang w:bidi="ar"/>
        </w:rPr>
        <w:t>APP</w:t>
      </w:r>
      <w:r>
        <w:rPr>
          <w:rFonts w:ascii="Times New Roman" w:eastAsia="仿宋_GB2312" w:hAnsi="Times New Roman" w:hint="eastAsia"/>
          <w:sz w:val="32"/>
          <w:szCs w:val="32"/>
          <w:lang w:bidi="ar"/>
        </w:rPr>
        <w:t>等传播渠道，以视音频、系列海报、折页、线上调查问卷、图文、动画等形式，向公众推广介绍全面注册制。（上海市国资委）</w:t>
      </w:r>
    </w:p>
    <w:p w14:paraId="227A192C" w14:textId="77777777" w:rsidR="00404C8A" w:rsidRDefault="00404C8A">
      <w:pPr>
        <w:pStyle w:val="2"/>
      </w:pPr>
    </w:p>
    <w:p w14:paraId="41246ABA" w14:textId="77777777" w:rsidR="00404C8A"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金融工作</w:t>
      </w:r>
    </w:p>
    <w:p w14:paraId="2D1F2ED3" w14:textId="77777777" w:rsidR="00404C8A"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上海农商银行协同科技企业孵化器</w:t>
      </w:r>
    </w:p>
    <w:p w14:paraId="2054128C" w14:textId="77777777" w:rsidR="00404C8A" w:rsidRDefault="00000000">
      <w:pPr>
        <w:widowControl w:val="0"/>
        <w:spacing w:beforeLines="50" w:before="156" w:afterLines="50" w:after="156"/>
        <w:jc w:val="center"/>
      </w:pPr>
      <w:r>
        <w:rPr>
          <w:rFonts w:ascii="Times New Roman" w:eastAsia="华文中宋" w:hAnsi="Times New Roman" w:cs="华文中宋" w:hint="eastAsia"/>
          <w:sz w:val="36"/>
          <w:szCs w:val="36"/>
          <w:shd w:val="clear" w:color="auto" w:fill="FFFFFF"/>
          <w:lang w:bidi="ar"/>
        </w:rPr>
        <w:t>全力支持科创企业发展</w:t>
      </w:r>
    </w:p>
    <w:p w14:paraId="545839AF" w14:textId="77777777" w:rsidR="00404C8A"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近年来，上海农商银行不断探索金融支持科技创新，以“科创更前、科技更全、科研更先”为导向，积极加强与科技企业孵化器的合作，围绕科创企业的金融需求靠前发力，</w:t>
      </w:r>
      <w:r>
        <w:rPr>
          <w:rFonts w:ascii="Times New Roman" w:eastAsia="仿宋_GB2312" w:hAnsi="Times New Roman" w:hint="eastAsia"/>
          <w:sz w:val="32"/>
          <w:szCs w:val="32"/>
          <w:lang w:bidi="ar"/>
        </w:rPr>
        <w:lastRenderedPageBreak/>
        <w:t>通过拓展孵化器朋友圈、搭建孵化器专营机构、深化产品与服务创新等举措全力支持科创企业发展。</w:t>
      </w:r>
    </w:p>
    <w:p w14:paraId="57A9CA96" w14:textId="77777777" w:rsidR="00404C8A" w:rsidRDefault="00000000">
      <w:pPr>
        <w:pStyle w:val="2"/>
        <w:ind w:firstLineChars="200" w:firstLine="643"/>
        <w:jc w:val="both"/>
        <w:rPr>
          <w:rFonts w:ascii="Times New Roman" w:eastAsia="仿宋_GB2312" w:hAnsi="Times New Roman"/>
          <w:b/>
          <w:bCs/>
          <w:sz w:val="32"/>
          <w:szCs w:val="32"/>
          <w:lang w:bidi="ar"/>
        </w:rPr>
      </w:pPr>
      <w:r>
        <w:rPr>
          <w:rFonts w:ascii="Times New Roman" w:eastAsia="仿宋_GB2312" w:hAnsi="Times New Roman" w:hint="eastAsia"/>
          <w:b/>
          <w:bCs/>
          <w:sz w:val="32"/>
          <w:szCs w:val="32"/>
          <w:lang w:bidi="ar"/>
        </w:rPr>
        <w:t>金融靠前发力，拓展孵化器朋友圈。</w:t>
      </w:r>
    </w:p>
    <w:p w14:paraId="27CDB86E" w14:textId="77777777" w:rsidR="00404C8A"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近年来，为了践行“投早、投小、投硬科技”理念，更好地支持创新链产业链源头的发展，上海农商银行积极将金融服务前移，并在</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初于总行投资银行部内部设立孵化器专业团队，旨在研究孵化器业务合作模式并搭建孵化器项目渠道。以“上海市科技创新创业载体培育体系的科技企业孵化器名单”为抓手，上海农商银行积极拓展“孵化器”朋友圈，将实现名单内孵化器触达全覆盖，并与其中重点产业型孵化器建立深度合作关系，包括生物医药、人工智能、信息技术等。</w:t>
      </w:r>
    </w:p>
    <w:p w14:paraId="1A2928EF" w14:textId="77777777" w:rsidR="00404C8A" w:rsidRDefault="00000000">
      <w:pPr>
        <w:pStyle w:val="2"/>
        <w:ind w:firstLineChars="200" w:firstLine="643"/>
        <w:jc w:val="both"/>
        <w:rPr>
          <w:rFonts w:ascii="Times New Roman" w:eastAsia="仿宋_GB2312" w:hAnsi="Times New Roman"/>
          <w:b/>
          <w:bCs/>
          <w:sz w:val="32"/>
          <w:szCs w:val="32"/>
          <w:lang w:bidi="ar"/>
        </w:rPr>
      </w:pPr>
      <w:r>
        <w:rPr>
          <w:rFonts w:ascii="Times New Roman" w:eastAsia="仿宋_GB2312" w:hAnsi="Times New Roman" w:hint="eastAsia"/>
          <w:b/>
          <w:bCs/>
          <w:sz w:val="32"/>
          <w:szCs w:val="32"/>
          <w:lang w:bidi="ar"/>
        </w:rPr>
        <w:t>搭建专营机构，强化专业经营能力。</w:t>
      </w:r>
    </w:p>
    <w:p w14:paraId="38140B8D" w14:textId="77777777" w:rsidR="00404C8A"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上海农商银行积极响应《上海银行业保险业支持上海科创中心建设的行动方案（</w:t>
      </w:r>
      <w:r>
        <w:rPr>
          <w:rFonts w:ascii="Times New Roman" w:eastAsia="仿宋_GB2312" w:hAnsi="Times New Roman" w:hint="eastAsia"/>
          <w:sz w:val="32"/>
          <w:szCs w:val="32"/>
          <w:lang w:bidi="ar"/>
        </w:rPr>
        <w:t>2022-2025</w:t>
      </w:r>
      <w:r>
        <w:rPr>
          <w:rFonts w:ascii="Times New Roman" w:eastAsia="仿宋_GB2312" w:hAnsi="Times New Roman" w:hint="eastAsia"/>
          <w:sz w:val="32"/>
          <w:szCs w:val="32"/>
          <w:lang w:bidi="ar"/>
        </w:rPr>
        <w:t>年）》政策号召，升级科技金融专营机构体系，以专营机构为载体带动专业人才培养、专属评价体系创设、行业研究能力提升、风险管理逻辑重塑等工作，进而提升对孵化器、科研院所、高校等机构所孵化科创企业的服务能力。</w:t>
      </w:r>
    </w:p>
    <w:p w14:paraId="740BF8EF" w14:textId="77777777" w:rsidR="00404C8A" w:rsidRDefault="00000000">
      <w:pPr>
        <w:pStyle w:val="2"/>
        <w:ind w:firstLineChars="200" w:firstLine="643"/>
        <w:jc w:val="both"/>
        <w:rPr>
          <w:rFonts w:ascii="Times New Roman" w:eastAsia="仿宋_GB2312" w:hAnsi="Times New Roman"/>
          <w:b/>
          <w:bCs/>
          <w:sz w:val="32"/>
          <w:szCs w:val="32"/>
          <w:lang w:bidi="ar"/>
        </w:rPr>
      </w:pPr>
      <w:r>
        <w:rPr>
          <w:rFonts w:ascii="Times New Roman" w:eastAsia="仿宋_GB2312" w:hAnsi="Times New Roman" w:hint="eastAsia"/>
          <w:b/>
          <w:bCs/>
          <w:sz w:val="32"/>
          <w:szCs w:val="32"/>
          <w:lang w:bidi="ar"/>
        </w:rPr>
        <w:t>深化产品创新，提升科创服务能级。</w:t>
      </w:r>
    </w:p>
    <w:p w14:paraId="0A59EB6E" w14:textId="77777777" w:rsidR="00404C8A"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根据孵化器及其在孵企业的发展特点和金融服务需求，上海农商银行持续深化产品与服务创新，出台《上海农商银</w:t>
      </w:r>
      <w:r>
        <w:rPr>
          <w:rFonts w:ascii="Times New Roman" w:eastAsia="仿宋_GB2312" w:hAnsi="Times New Roman" w:hint="eastAsia"/>
          <w:sz w:val="32"/>
          <w:szCs w:val="32"/>
          <w:lang w:bidi="ar"/>
        </w:rPr>
        <w:lastRenderedPageBreak/>
        <w:t>行孵化器及科创企业综合金融服务方案》，分别针对孵化器、在孵企业、在孵企业创始人的综合金融需求制定服务方案，以“贷款</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认股权”“知识产权质押融资”等为核心产品，解决孵化器及其相关主体的差异化金融需求。除了金融支持之外，上海农商银行积极提升对科创企业的综合赋能能力，</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年升级推出“鑫动能”</w:t>
      </w:r>
      <w:r>
        <w:rPr>
          <w:rFonts w:ascii="Times New Roman" w:eastAsia="仿宋_GB2312" w:hAnsi="Times New Roman" w:hint="eastAsia"/>
          <w:sz w:val="32"/>
          <w:szCs w:val="32"/>
          <w:lang w:bidi="ar"/>
        </w:rPr>
        <w:t>3.0</w:t>
      </w:r>
      <w:r>
        <w:rPr>
          <w:rFonts w:ascii="Times New Roman" w:eastAsia="仿宋_GB2312" w:hAnsi="Times New Roman" w:hint="eastAsia"/>
          <w:sz w:val="32"/>
          <w:szCs w:val="32"/>
          <w:lang w:bidi="ar"/>
        </w:rPr>
        <w:t>服务方案，以“五专服务</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六维赋能”为核心，通过成立科创金融合作生态圈——“鑫生态”，为科创企业提供产业整合、政策对接、投资引荐、专业辅导、人才管理、金融科技等“融智”服务。（上海农商银行）</w:t>
      </w:r>
    </w:p>
    <w:p w14:paraId="36A97F27" w14:textId="77777777" w:rsidR="00404C8A" w:rsidRDefault="00404C8A">
      <w:pPr>
        <w:pStyle w:val="2"/>
      </w:pPr>
    </w:p>
    <w:p w14:paraId="1F7FCABE" w14:textId="77777777" w:rsidR="00404C8A"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0491B11F" w14:textId="77777777" w:rsidR="00404C8A"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农投集团打造世界级现代都市生态绿色农业示范区</w:t>
      </w:r>
    </w:p>
    <w:p w14:paraId="64449A6C" w14:textId="77777777" w:rsidR="00404C8A"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上海横沙新洲预计</w:t>
      </w:r>
      <w:r>
        <w:rPr>
          <w:rFonts w:ascii="Times New Roman" w:eastAsia="华文中宋" w:hAnsi="Times New Roman" w:cs="华文中宋" w:hint="eastAsia"/>
          <w:sz w:val="36"/>
          <w:szCs w:val="36"/>
          <w:shd w:val="clear" w:color="auto" w:fill="FFFFFF"/>
          <w:lang w:bidi="ar"/>
        </w:rPr>
        <w:t>2035</w:t>
      </w:r>
      <w:r>
        <w:rPr>
          <w:rFonts w:ascii="Times New Roman" w:eastAsia="华文中宋" w:hAnsi="Times New Roman" w:cs="华文中宋" w:hint="eastAsia"/>
          <w:sz w:val="36"/>
          <w:szCs w:val="36"/>
          <w:shd w:val="clear" w:color="auto" w:fill="FFFFFF"/>
          <w:lang w:bidi="ar"/>
        </w:rPr>
        <w:t>年全面建成</w:t>
      </w:r>
    </w:p>
    <w:p w14:paraId="36E508DC" w14:textId="77777777" w:rsidR="00404C8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近日，以“拥抱绿色时代，共享农业未来”为主题的上海现代农业产业园（横沙新洲）全球推介大会在上海举行。</w:t>
      </w:r>
    </w:p>
    <w:p w14:paraId="0B91C1C8" w14:textId="77777777" w:rsidR="00404C8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现代农业产业园（横沙新洲）由农投集团负责开发建设。根据规划，横沙新洲将形成“一原点、两轴线、三组团、十方田”的空间结构。智农原点承载园区核心功能，打造园区综合性管理服务中心；东西综合发展轴集中呈现现代农业生产场景，南北综合服务带主要承载农业产业服务功</w:t>
      </w:r>
      <w:r>
        <w:rPr>
          <w:rFonts w:ascii="Times New Roman" w:eastAsia="仿宋_GB2312" w:hAnsi="Times New Roman" w:hint="eastAsia"/>
          <w:sz w:val="32"/>
          <w:szCs w:val="32"/>
          <w:lang w:bidi="ar"/>
        </w:rPr>
        <w:lastRenderedPageBreak/>
        <w:t>能；中部科技引领组团将引入全球领先的顶级企业，形成全球农研科创标杆和未来农业试验基地；东西两侧为生态农业组团和规模生产组团；园区由主要道路分隔形成</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片近万亩的现代农业生产空间，集成先进农业生物技术和信息技术，实施远程控制、实时监测、智能反馈和精准作业。</w:t>
      </w:r>
    </w:p>
    <w:p w14:paraId="71C3D1AC" w14:textId="77777777" w:rsidR="00404C8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预计到</w:t>
      </w:r>
      <w:r>
        <w:rPr>
          <w:rFonts w:ascii="Times New Roman" w:eastAsia="仿宋_GB2312" w:hAnsi="Times New Roman" w:hint="eastAsia"/>
          <w:sz w:val="32"/>
          <w:szCs w:val="32"/>
          <w:lang w:bidi="ar"/>
        </w:rPr>
        <w:t>2035</w:t>
      </w:r>
      <w:r>
        <w:rPr>
          <w:rFonts w:ascii="Times New Roman" w:eastAsia="仿宋_GB2312" w:hAnsi="Times New Roman" w:hint="eastAsia"/>
          <w:sz w:val="32"/>
          <w:szCs w:val="32"/>
          <w:lang w:bidi="ar"/>
        </w:rPr>
        <w:t>年，横沙新洲现代农业产业园将全面建成，总产值达到</w:t>
      </w:r>
      <w:r>
        <w:rPr>
          <w:rFonts w:ascii="Times New Roman" w:eastAsia="仿宋_GB2312" w:hAnsi="Times New Roman" w:hint="eastAsia"/>
          <w:sz w:val="32"/>
          <w:szCs w:val="32"/>
          <w:lang w:bidi="ar"/>
        </w:rPr>
        <w:t>300</w:t>
      </w:r>
      <w:r>
        <w:rPr>
          <w:rFonts w:ascii="Times New Roman" w:eastAsia="仿宋_GB2312" w:hAnsi="Times New Roman" w:hint="eastAsia"/>
          <w:sz w:val="32"/>
          <w:szCs w:val="32"/>
          <w:lang w:bidi="ar"/>
        </w:rPr>
        <w:t>亿元以上。届时，园区将保障城市居民主要农副产品</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至</w:t>
      </w:r>
      <w:r>
        <w:rPr>
          <w:rFonts w:ascii="Times New Roman" w:eastAsia="仿宋_GB2312" w:hAnsi="Times New Roman" w:hint="eastAsia"/>
          <w:sz w:val="32"/>
          <w:szCs w:val="32"/>
          <w:lang w:bidi="ar"/>
        </w:rPr>
        <w:t>15%</w:t>
      </w:r>
      <w:r>
        <w:rPr>
          <w:rFonts w:ascii="Times New Roman" w:eastAsia="仿宋_GB2312" w:hAnsi="Times New Roman" w:hint="eastAsia"/>
          <w:sz w:val="32"/>
          <w:szCs w:val="32"/>
          <w:lang w:bidi="ar"/>
        </w:rPr>
        <w:t>的供应量，绿色优质农产品比重达</w:t>
      </w:r>
      <w:r>
        <w:rPr>
          <w:rFonts w:ascii="Times New Roman" w:eastAsia="仿宋_GB2312" w:hAnsi="Times New Roman" w:hint="eastAsia"/>
          <w:sz w:val="32"/>
          <w:szCs w:val="32"/>
          <w:lang w:bidi="ar"/>
        </w:rPr>
        <w:t>100%</w:t>
      </w:r>
      <w:r>
        <w:rPr>
          <w:rFonts w:ascii="Times New Roman" w:eastAsia="仿宋_GB2312" w:hAnsi="Times New Roman" w:hint="eastAsia"/>
          <w:sz w:val="32"/>
          <w:szCs w:val="32"/>
          <w:lang w:bidi="ar"/>
        </w:rPr>
        <w:t>，成为上海优质绿色副食品核心供应基地。</w:t>
      </w:r>
    </w:p>
    <w:p w14:paraId="004FA049" w14:textId="77777777" w:rsidR="00404C8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园区涉地产业基础设施将由农投集团“量身定制”，建成后租赁给项目主体。园区将充分发挥各类渠道特点与优势，与合作方一起创新共建适合现代农业产业园的高品质农产品销售模式，实现产业链增值收益。</w:t>
      </w:r>
      <w:r>
        <w:rPr>
          <w:rFonts w:ascii="Times New Roman" w:eastAsia="仿宋_GB2312" w:hAnsi="Times New Roman" w:hint="eastAsia"/>
          <w:sz w:val="32"/>
          <w:szCs w:val="32"/>
          <w:lang w:bidi="ar"/>
        </w:rPr>
        <w:t xml:space="preserve"> </w:t>
      </w:r>
    </w:p>
    <w:p w14:paraId="09C4BA1C" w14:textId="77777777" w:rsidR="00404C8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后续，农投集团将坚持生态优先、绿色发展，以世界眼光、国际标准，大力发展高端农业、精品农业、品牌农业，着力打造世界级现代都市生态绿色农业示范区，助力产业园成为保障上海高品质农副产品供给的重要承载地。（农投集团）</w:t>
      </w:r>
    </w:p>
    <w:p w14:paraId="5B247061" w14:textId="77777777" w:rsidR="00404C8A" w:rsidRDefault="00404C8A">
      <w:pPr>
        <w:widowControl w:val="0"/>
        <w:numPr>
          <w:ilvl w:val="255"/>
          <w:numId w:val="0"/>
        </w:numPr>
        <w:ind w:firstLineChars="200" w:firstLine="640"/>
        <w:jc w:val="both"/>
        <w:rPr>
          <w:rFonts w:ascii="Times New Roman" w:eastAsia="仿宋_GB2312" w:hAnsi="Times New Roman"/>
          <w:sz w:val="32"/>
          <w:szCs w:val="32"/>
          <w:lang w:bidi="ar"/>
        </w:rPr>
      </w:pPr>
    </w:p>
    <w:p w14:paraId="1FF827E6" w14:textId="77777777" w:rsidR="00404C8A" w:rsidRDefault="00000000">
      <w:pPr>
        <w:widowControl w:val="0"/>
        <w:spacing w:beforeLines="50" w:before="156" w:afterLines="50" w:after="156"/>
        <w:jc w:val="center"/>
      </w:pPr>
      <w:r>
        <w:rPr>
          <w:rFonts w:ascii="Times New Roman" w:eastAsia="华文中宋" w:hAnsi="Times New Roman" w:cs="华文中宋" w:hint="eastAsia"/>
          <w:sz w:val="36"/>
          <w:szCs w:val="36"/>
          <w:shd w:val="clear" w:color="auto" w:fill="FFFFFF"/>
          <w:lang w:bidi="ar"/>
        </w:rPr>
        <w:t>上海虹桥机场国际、港澳台航线复航</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开启新航季</w:t>
      </w:r>
    </w:p>
    <w:p w14:paraId="0E1F77FA" w14:textId="77777777" w:rsidR="00404C8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近日，机场集团虹桥机场国际、港澳台航线复航，开启</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民航夏秋航季。</w:t>
      </w:r>
    </w:p>
    <w:p w14:paraId="684A67FE" w14:textId="77777777" w:rsidR="00404C8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为做好复航工作，虹桥机场运管委会同联检单位、航空公司等各方提前做好各项运营筹备工作。</w:t>
      </w:r>
      <w:r>
        <w:rPr>
          <w:rFonts w:ascii="Times New Roman" w:eastAsia="仿宋_GB2312" w:hAnsi="Times New Roman" w:hint="eastAsia"/>
          <w:sz w:val="32"/>
          <w:szCs w:val="32"/>
          <w:lang w:bidi="ar"/>
        </w:rPr>
        <w:t>11</w:t>
      </w:r>
      <w:r>
        <w:rPr>
          <w:rFonts w:ascii="Times New Roman" w:eastAsia="仿宋_GB2312" w:hAnsi="Times New Roman" w:hint="eastAsia"/>
          <w:sz w:val="32"/>
          <w:szCs w:val="32"/>
          <w:lang w:bidi="ar"/>
        </w:rPr>
        <w:t>家航空公司重新进驻虹桥机场</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号航站楼运营。联检单位、机场、航司结合旅客出入境流程，提前开展了流程优化、硬件升级、设备调试、标识更新、隐患排查和人员培训等工作，并举行了多次复航模拟演练。虹桥机场</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号航站楼国际、港澳台出发、到达区域的免税店、餐饮店同步开业，并推出“再遇世界”商业推广活动。</w:t>
      </w:r>
    </w:p>
    <w:p w14:paraId="098461A1" w14:textId="77777777" w:rsidR="00404C8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新航季中，上海浦东和虹桥机场预计计划每日执行航班</w:t>
      </w:r>
      <w:r>
        <w:rPr>
          <w:rFonts w:ascii="Times New Roman" w:eastAsia="仿宋_GB2312" w:hAnsi="Times New Roman" w:hint="eastAsia"/>
          <w:sz w:val="32"/>
          <w:szCs w:val="32"/>
          <w:lang w:bidi="ar"/>
        </w:rPr>
        <w:t>2225</w:t>
      </w:r>
      <w:r>
        <w:rPr>
          <w:rFonts w:ascii="Times New Roman" w:eastAsia="仿宋_GB2312" w:hAnsi="Times New Roman" w:hint="eastAsia"/>
          <w:sz w:val="32"/>
          <w:szCs w:val="32"/>
          <w:lang w:bidi="ar"/>
        </w:rPr>
        <w:t>架次，航班量恢复至</w:t>
      </w:r>
      <w:r>
        <w:rPr>
          <w:rFonts w:ascii="Times New Roman" w:eastAsia="仿宋_GB2312" w:hAnsi="Times New Roman" w:hint="eastAsia"/>
          <w:sz w:val="32"/>
          <w:szCs w:val="32"/>
          <w:lang w:bidi="ar"/>
        </w:rPr>
        <w:t>2019</w:t>
      </w:r>
      <w:r>
        <w:rPr>
          <w:rFonts w:ascii="Times New Roman" w:eastAsia="仿宋_GB2312" w:hAnsi="Times New Roman" w:hint="eastAsia"/>
          <w:sz w:val="32"/>
          <w:szCs w:val="32"/>
          <w:lang w:bidi="ar"/>
        </w:rPr>
        <w:t>年同期的约八成，其中国内航班量恢复至</w:t>
      </w:r>
      <w:r>
        <w:rPr>
          <w:rFonts w:ascii="Times New Roman" w:eastAsia="仿宋_GB2312" w:hAnsi="Times New Roman" w:hint="eastAsia"/>
          <w:sz w:val="32"/>
          <w:szCs w:val="32"/>
          <w:lang w:bidi="ar"/>
        </w:rPr>
        <w:t>2019</w:t>
      </w:r>
      <w:r>
        <w:rPr>
          <w:rFonts w:ascii="Times New Roman" w:eastAsia="仿宋_GB2312" w:hAnsi="Times New Roman" w:hint="eastAsia"/>
          <w:sz w:val="32"/>
          <w:szCs w:val="32"/>
          <w:lang w:bidi="ar"/>
        </w:rPr>
        <w:t>年同期的</w:t>
      </w:r>
      <w:r>
        <w:rPr>
          <w:rFonts w:ascii="Times New Roman" w:eastAsia="仿宋_GB2312" w:hAnsi="Times New Roman" w:hint="eastAsia"/>
          <w:sz w:val="32"/>
          <w:szCs w:val="32"/>
          <w:lang w:bidi="ar"/>
        </w:rPr>
        <w:t>118.5%</w:t>
      </w:r>
      <w:r>
        <w:rPr>
          <w:rFonts w:ascii="Times New Roman" w:eastAsia="仿宋_GB2312" w:hAnsi="Times New Roman" w:hint="eastAsia"/>
          <w:sz w:val="32"/>
          <w:szCs w:val="32"/>
          <w:lang w:bidi="ar"/>
        </w:rPr>
        <w:t>，国际、港澳台航班量恢复至</w:t>
      </w:r>
      <w:r>
        <w:rPr>
          <w:rFonts w:ascii="Times New Roman" w:eastAsia="仿宋_GB2312" w:hAnsi="Times New Roman" w:hint="eastAsia"/>
          <w:sz w:val="32"/>
          <w:szCs w:val="32"/>
          <w:lang w:bidi="ar"/>
        </w:rPr>
        <w:t>2019</w:t>
      </w:r>
      <w:r>
        <w:rPr>
          <w:rFonts w:ascii="Times New Roman" w:eastAsia="仿宋_GB2312" w:hAnsi="Times New Roman" w:hint="eastAsia"/>
          <w:sz w:val="32"/>
          <w:szCs w:val="32"/>
          <w:lang w:bidi="ar"/>
        </w:rPr>
        <w:t>年同期的</w:t>
      </w:r>
      <w:r>
        <w:rPr>
          <w:rFonts w:ascii="Times New Roman" w:eastAsia="仿宋_GB2312" w:hAnsi="Times New Roman" w:hint="eastAsia"/>
          <w:sz w:val="32"/>
          <w:szCs w:val="32"/>
          <w:lang w:bidi="ar"/>
        </w:rPr>
        <w:t>62.4%</w:t>
      </w:r>
      <w:r>
        <w:rPr>
          <w:rFonts w:ascii="Times New Roman" w:eastAsia="仿宋_GB2312" w:hAnsi="Times New Roman" w:hint="eastAsia"/>
          <w:sz w:val="32"/>
          <w:szCs w:val="32"/>
          <w:lang w:bidi="ar"/>
        </w:rPr>
        <w:t>。两场共有</w:t>
      </w:r>
      <w:r>
        <w:rPr>
          <w:rFonts w:ascii="Times New Roman" w:eastAsia="仿宋_GB2312" w:hAnsi="Times New Roman" w:hint="eastAsia"/>
          <w:sz w:val="32"/>
          <w:szCs w:val="32"/>
          <w:lang w:bidi="ar"/>
        </w:rPr>
        <w:t>92</w:t>
      </w:r>
      <w:r>
        <w:rPr>
          <w:rFonts w:ascii="Times New Roman" w:eastAsia="仿宋_GB2312" w:hAnsi="Times New Roman" w:hint="eastAsia"/>
          <w:sz w:val="32"/>
          <w:szCs w:val="32"/>
          <w:lang w:bidi="ar"/>
        </w:rPr>
        <w:t>家航司执飞通达</w:t>
      </w:r>
      <w:r>
        <w:rPr>
          <w:rFonts w:ascii="Times New Roman" w:eastAsia="仿宋_GB2312" w:hAnsi="Times New Roman" w:hint="eastAsia"/>
          <w:sz w:val="32"/>
          <w:szCs w:val="32"/>
          <w:lang w:bidi="ar"/>
        </w:rPr>
        <w:t>42</w:t>
      </w:r>
      <w:r>
        <w:rPr>
          <w:rFonts w:ascii="Times New Roman" w:eastAsia="仿宋_GB2312" w:hAnsi="Times New Roman" w:hint="eastAsia"/>
          <w:sz w:val="32"/>
          <w:szCs w:val="32"/>
          <w:lang w:bidi="ar"/>
        </w:rPr>
        <w:t>个国家的</w:t>
      </w:r>
      <w:r>
        <w:rPr>
          <w:rFonts w:ascii="Times New Roman" w:eastAsia="仿宋_GB2312" w:hAnsi="Times New Roman" w:hint="eastAsia"/>
          <w:sz w:val="32"/>
          <w:szCs w:val="32"/>
          <w:lang w:bidi="ar"/>
        </w:rPr>
        <w:t>79</w:t>
      </w:r>
      <w:r>
        <w:rPr>
          <w:rFonts w:ascii="Times New Roman" w:eastAsia="仿宋_GB2312" w:hAnsi="Times New Roman" w:hint="eastAsia"/>
          <w:sz w:val="32"/>
          <w:szCs w:val="32"/>
          <w:lang w:bidi="ar"/>
        </w:rPr>
        <w:t>个航点。</w:t>
      </w:r>
    </w:p>
    <w:p w14:paraId="36A2159C" w14:textId="77777777" w:rsidR="00404C8A" w:rsidRDefault="00000000">
      <w:pPr>
        <w:widowControl w:val="0"/>
        <w:numPr>
          <w:ilvl w:val="255"/>
          <w:numId w:val="0"/>
        </w:numPr>
        <w:ind w:firstLineChars="200" w:firstLine="640"/>
        <w:jc w:val="both"/>
      </w:pPr>
      <w:r>
        <w:rPr>
          <w:rFonts w:ascii="Times New Roman" w:eastAsia="仿宋_GB2312" w:hAnsi="Times New Roman" w:hint="eastAsia"/>
          <w:sz w:val="32"/>
          <w:szCs w:val="32"/>
          <w:lang w:bidi="ar"/>
        </w:rPr>
        <w:t>浦东机场在换季初期每日的国际、港澳台客运航班将超过</w:t>
      </w:r>
      <w:r>
        <w:rPr>
          <w:rFonts w:ascii="Times New Roman" w:eastAsia="仿宋_GB2312" w:hAnsi="Times New Roman" w:hint="eastAsia"/>
          <w:sz w:val="32"/>
          <w:szCs w:val="32"/>
          <w:lang w:bidi="ar"/>
        </w:rPr>
        <w:t>200</w:t>
      </w:r>
      <w:r>
        <w:rPr>
          <w:rFonts w:ascii="Times New Roman" w:eastAsia="仿宋_GB2312" w:hAnsi="Times New Roman" w:hint="eastAsia"/>
          <w:sz w:val="32"/>
          <w:szCs w:val="32"/>
          <w:lang w:bidi="ar"/>
        </w:rPr>
        <w:t>架次，较换季前增长三分之一。洲际航线超过</w:t>
      </w:r>
      <w:r>
        <w:rPr>
          <w:rFonts w:ascii="Times New Roman" w:eastAsia="仿宋_GB2312" w:hAnsi="Times New Roman" w:hint="eastAsia"/>
          <w:sz w:val="32"/>
          <w:szCs w:val="32"/>
          <w:lang w:bidi="ar"/>
        </w:rPr>
        <w:t>30</w:t>
      </w:r>
      <w:r>
        <w:rPr>
          <w:rFonts w:ascii="Times New Roman" w:eastAsia="仿宋_GB2312" w:hAnsi="Times New Roman" w:hint="eastAsia"/>
          <w:sz w:val="32"/>
          <w:szCs w:val="32"/>
          <w:lang w:bidi="ar"/>
        </w:rPr>
        <w:t>条，洲际通航点数量恢复至</w:t>
      </w:r>
      <w:r>
        <w:rPr>
          <w:rFonts w:ascii="Times New Roman" w:eastAsia="仿宋_GB2312" w:hAnsi="Times New Roman" w:hint="eastAsia"/>
          <w:sz w:val="32"/>
          <w:szCs w:val="32"/>
          <w:lang w:bidi="ar"/>
        </w:rPr>
        <w:t>2019</w:t>
      </w:r>
      <w:r>
        <w:rPr>
          <w:rFonts w:ascii="Times New Roman" w:eastAsia="仿宋_GB2312" w:hAnsi="Times New Roman" w:hint="eastAsia"/>
          <w:sz w:val="32"/>
          <w:szCs w:val="32"/>
          <w:lang w:bidi="ar"/>
        </w:rPr>
        <w:t>年同期的</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成。其中，澳大利亚悉尼、新西兰奥克兰、德国法兰克福、荷兰阿姆斯特丹、埃塞俄比亚亚的斯亚贝巴等</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条洲际航线将恢复至每天至少</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班，东南亚和日韩航线的频次也呈现快速增长态势。虹桥机场计划每周执行国际、港澳台航班</w:t>
      </w:r>
      <w:r>
        <w:rPr>
          <w:rFonts w:ascii="Times New Roman" w:eastAsia="仿宋_GB2312" w:hAnsi="Times New Roman" w:hint="eastAsia"/>
          <w:sz w:val="32"/>
          <w:szCs w:val="32"/>
          <w:lang w:bidi="ar"/>
        </w:rPr>
        <w:t>314</w:t>
      </w:r>
      <w:r>
        <w:rPr>
          <w:rFonts w:ascii="Times New Roman" w:eastAsia="仿宋_GB2312" w:hAnsi="Times New Roman" w:hint="eastAsia"/>
          <w:sz w:val="32"/>
          <w:szCs w:val="32"/>
          <w:lang w:bidi="ar"/>
        </w:rPr>
        <w:t>架次，相比</w:t>
      </w:r>
      <w:r>
        <w:rPr>
          <w:rFonts w:ascii="Times New Roman" w:eastAsia="仿宋_GB2312" w:hAnsi="Times New Roman" w:hint="eastAsia"/>
          <w:sz w:val="32"/>
          <w:szCs w:val="32"/>
          <w:lang w:bidi="ar"/>
        </w:rPr>
        <w:t>2019</w:t>
      </w:r>
      <w:r>
        <w:rPr>
          <w:rFonts w:ascii="Times New Roman" w:eastAsia="仿宋_GB2312" w:hAnsi="Times New Roman" w:hint="eastAsia"/>
          <w:sz w:val="32"/>
          <w:szCs w:val="32"/>
          <w:lang w:bidi="ar"/>
        </w:rPr>
        <w:t>年同期增加</w:t>
      </w:r>
      <w:r>
        <w:rPr>
          <w:rFonts w:ascii="Times New Roman" w:eastAsia="仿宋_GB2312" w:hAnsi="Times New Roman" w:hint="eastAsia"/>
          <w:sz w:val="32"/>
          <w:szCs w:val="32"/>
          <w:lang w:bidi="ar"/>
        </w:rPr>
        <w:t>22</w:t>
      </w:r>
      <w:r>
        <w:rPr>
          <w:rFonts w:ascii="Times New Roman" w:eastAsia="仿宋_GB2312" w:hAnsi="Times New Roman" w:hint="eastAsia"/>
          <w:sz w:val="32"/>
          <w:szCs w:val="32"/>
          <w:lang w:bidi="ar"/>
        </w:rPr>
        <w:t>架次，恢复至疫情前水平。（机场集团）</w:t>
      </w:r>
    </w:p>
    <w:p w14:paraId="0323DD63" w14:textId="77777777" w:rsidR="00404C8A" w:rsidRDefault="00404C8A">
      <w:pPr>
        <w:widowControl w:val="0"/>
        <w:numPr>
          <w:ilvl w:val="255"/>
          <w:numId w:val="0"/>
        </w:numPr>
        <w:ind w:firstLineChars="200" w:firstLine="640"/>
        <w:jc w:val="both"/>
        <w:rPr>
          <w:rFonts w:ascii="Times New Roman" w:eastAsia="仿宋_GB2312" w:hAnsi="Times New Roman"/>
          <w:sz w:val="32"/>
          <w:szCs w:val="32"/>
          <w:lang w:bidi="ar"/>
        </w:rPr>
      </w:pPr>
    </w:p>
    <w:p w14:paraId="11F0DF08" w14:textId="77777777" w:rsidR="00404C8A" w:rsidRDefault="00404C8A">
      <w:pPr>
        <w:pStyle w:val="2"/>
        <w:rPr>
          <w:rFonts w:ascii="Times New Roman" w:eastAsia="仿宋_GB2312" w:hAnsi="Times New Roman"/>
          <w:sz w:val="32"/>
          <w:szCs w:val="32"/>
          <w:lang w:bidi="ar"/>
        </w:rPr>
      </w:pPr>
    </w:p>
    <w:p w14:paraId="60A8F4FF" w14:textId="77777777" w:rsidR="00404C8A" w:rsidRDefault="00404C8A">
      <w:pPr>
        <w:pStyle w:val="20"/>
        <w:ind w:left="480" w:firstLine="640"/>
      </w:pPr>
    </w:p>
    <w:p w14:paraId="4CCBC93B" w14:textId="77777777" w:rsidR="00404C8A"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华谊集团钦州化工新材料一体化基地三期工程</w:t>
      </w:r>
    </w:p>
    <w:p w14:paraId="40F3BA2B" w14:textId="77777777" w:rsidR="00404C8A"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甲醇制烯烃及下游深加工一体化项目开工</w:t>
      </w:r>
    </w:p>
    <w:p w14:paraId="6139E660" w14:textId="77777777" w:rsidR="00404C8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近日，华谊集团钦州化工新材料一体化基地三期工程甲醇制烯烃及下游深加工一体化项目开工仪式在广西钦州举行。华谊钦州化工新材料一体化基地三期项目规划总投资约</w:t>
      </w:r>
      <w:r>
        <w:rPr>
          <w:rFonts w:ascii="Times New Roman" w:eastAsia="仿宋_GB2312" w:hAnsi="Times New Roman" w:hint="eastAsia"/>
          <w:sz w:val="32"/>
          <w:szCs w:val="32"/>
          <w:lang w:bidi="ar"/>
        </w:rPr>
        <w:t>550</w:t>
      </w:r>
      <w:r>
        <w:rPr>
          <w:rFonts w:ascii="Times New Roman" w:eastAsia="仿宋_GB2312" w:hAnsi="Times New Roman" w:hint="eastAsia"/>
          <w:sz w:val="32"/>
          <w:szCs w:val="32"/>
          <w:lang w:bidi="ar"/>
        </w:rPr>
        <w:t>亿元，以甲醇制烯烃为龙头，主要聚焦国家鼓励发展的高端新材料产品，包括</w:t>
      </w:r>
      <w:r>
        <w:rPr>
          <w:rFonts w:ascii="Times New Roman" w:eastAsia="仿宋_GB2312" w:hAnsi="Times New Roman" w:hint="eastAsia"/>
          <w:sz w:val="32"/>
          <w:szCs w:val="32"/>
          <w:lang w:bidi="ar"/>
        </w:rPr>
        <w:t>EVA</w:t>
      </w:r>
      <w:r>
        <w:rPr>
          <w:rFonts w:ascii="Times New Roman" w:eastAsia="仿宋_GB2312" w:hAnsi="Times New Roman" w:hint="eastAsia"/>
          <w:sz w:val="32"/>
          <w:szCs w:val="32"/>
          <w:lang w:bidi="ar"/>
        </w:rPr>
        <w:t>等烯烃下游材料、可降解材料、聚氨酯材料、聚碳酸酯和尼龙</w:t>
      </w:r>
      <w:r>
        <w:rPr>
          <w:rFonts w:ascii="Times New Roman" w:eastAsia="仿宋_GB2312" w:hAnsi="Times New Roman" w:hint="eastAsia"/>
          <w:sz w:val="32"/>
          <w:szCs w:val="32"/>
          <w:lang w:bidi="ar"/>
        </w:rPr>
        <w:t>66</w:t>
      </w:r>
      <w:r>
        <w:rPr>
          <w:rFonts w:ascii="Times New Roman" w:eastAsia="仿宋_GB2312" w:hAnsi="Times New Roman" w:hint="eastAsia"/>
          <w:sz w:val="32"/>
          <w:szCs w:val="32"/>
          <w:lang w:bidi="ar"/>
        </w:rPr>
        <w:t>等高端工程塑料等，进一步促进华谊钦州基地烯烃下游产品多元化、差异化发展，增强产业链竞争力。</w:t>
      </w:r>
    </w:p>
    <w:p w14:paraId="0547DA27" w14:textId="77777777" w:rsidR="00404C8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华谊集团也将抢抓重大机遇，与广西各方加强合作，充分发挥化工领域的专业优势，把华谊钦州化工新材料一体化基地建设成为安全可靠、绿色环保、管理先进、智能制造的世界一流化工新材料一体化基地，打造成为沪桂合作的新典范，为奋力开创新时代壮美广西建设新局面作出上海国企的新贡献。（华谊集团）</w:t>
      </w:r>
    </w:p>
    <w:p w14:paraId="3088C583" w14:textId="77777777" w:rsidR="00404C8A" w:rsidRDefault="00404C8A">
      <w:pPr>
        <w:widowControl w:val="0"/>
        <w:numPr>
          <w:ilvl w:val="255"/>
          <w:numId w:val="0"/>
        </w:numPr>
        <w:ind w:firstLineChars="200" w:firstLine="640"/>
        <w:jc w:val="both"/>
        <w:rPr>
          <w:rFonts w:ascii="Times New Roman" w:eastAsia="仿宋_GB2312" w:hAnsi="Times New Roman"/>
          <w:sz w:val="32"/>
          <w:szCs w:val="32"/>
          <w:lang w:bidi="ar"/>
        </w:rPr>
      </w:pPr>
    </w:p>
    <w:p w14:paraId="0A0E070A" w14:textId="77777777" w:rsidR="00404C8A"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上港集团携手马士基</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共同推动航运绿色发展</w:t>
      </w:r>
    </w:p>
    <w:p w14:paraId="5730B2F1" w14:textId="77777777" w:rsidR="00404C8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近日，上港集团与</w:t>
      </w:r>
      <w:r>
        <w:rPr>
          <w:rFonts w:ascii="Times New Roman" w:eastAsia="仿宋_GB2312" w:hAnsi="Times New Roman" w:hint="eastAsia"/>
          <w:sz w:val="32"/>
          <w:szCs w:val="32"/>
          <w:lang w:bidi="ar"/>
        </w:rPr>
        <w:t>A.P.</w:t>
      </w:r>
      <w:r>
        <w:rPr>
          <w:rFonts w:ascii="Times New Roman" w:eastAsia="仿宋_GB2312" w:hAnsi="Times New Roman" w:hint="eastAsia"/>
          <w:sz w:val="32"/>
          <w:szCs w:val="32"/>
          <w:lang w:bidi="ar"/>
        </w:rPr>
        <w:t>穆勒—马士基（简称马士基）签</w:t>
      </w:r>
      <w:r>
        <w:rPr>
          <w:rFonts w:ascii="Times New Roman" w:eastAsia="仿宋_GB2312" w:hAnsi="Times New Roman" w:hint="eastAsia"/>
          <w:sz w:val="32"/>
          <w:szCs w:val="32"/>
          <w:lang w:bidi="ar"/>
        </w:rPr>
        <w:lastRenderedPageBreak/>
        <w:t>订了上海港船舶甲醇燃料项目战略合作备忘录，将协作实现甲醇燃料集装箱船舶在港“船到船”加注作业。</w:t>
      </w:r>
    </w:p>
    <w:p w14:paraId="024DBD1E" w14:textId="77777777" w:rsidR="00404C8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随着对可持续燃料需求的增加，提供绿色燃料加注服务将成为上港集团的又一里程碑，此次合作有助于提升集团码头服务、增强上海港的竞争力，打造亚太地区低碳、环保的能源枢纽港。上港集团将持续与各大航运公司共同推动上海航运枢纽门户建设和上海航运绿色低碳转型。</w:t>
      </w:r>
    </w:p>
    <w:p w14:paraId="7B5CDB25" w14:textId="77777777" w:rsidR="00404C8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作为全球领先的集装箱港口运营商和上海国际航运中心建设的排头兵，上港集团坚持贯彻“绿色低碳”发展理念，在上海航运绿色低碳和数字化转型中发挥积极作用。近年来，上港集团积极推动绿色燃料加注，随着绿色甲醇加注战略合作备忘录的签订和落地，上海港将成为全球首批绿色甲醇商业性加注点及区域绿色甲醇燃料加注中心。马士基在建甲醇双动力集装箱船舶于</w:t>
      </w:r>
      <w:r>
        <w:rPr>
          <w:rFonts w:ascii="Times New Roman" w:eastAsia="仿宋_GB2312" w:hAnsi="Times New Roman" w:hint="eastAsia"/>
          <w:sz w:val="32"/>
          <w:szCs w:val="32"/>
          <w:lang w:bidi="ar"/>
        </w:rPr>
        <w:t>2024</w:t>
      </w:r>
      <w:r>
        <w:rPr>
          <w:rFonts w:ascii="Times New Roman" w:eastAsia="仿宋_GB2312" w:hAnsi="Times New Roman" w:hint="eastAsia"/>
          <w:sz w:val="32"/>
          <w:szCs w:val="32"/>
          <w:lang w:bidi="ar"/>
        </w:rPr>
        <w:t>年交付运营后，能够加速实现其计划到</w:t>
      </w:r>
      <w:r>
        <w:rPr>
          <w:rFonts w:ascii="Times New Roman" w:eastAsia="仿宋_GB2312" w:hAnsi="Times New Roman" w:hint="eastAsia"/>
          <w:sz w:val="32"/>
          <w:szCs w:val="32"/>
          <w:lang w:bidi="ar"/>
        </w:rPr>
        <w:t>2040</w:t>
      </w:r>
      <w:r>
        <w:rPr>
          <w:rFonts w:ascii="Times New Roman" w:eastAsia="仿宋_GB2312" w:hAnsi="Times New Roman" w:hint="eastAsia"/>
          <w:sz w:val="32"/>
          <w:szCs w:val="32"/>
          <w:lang w:bidi="ar"/>
        </w:rPr>
        <w:t>年所有业务净零排放的宏伟目标。</w:t>
      </w:r>
    </w:p>
    <w:p w14:paraId="345023F0" w14:textId="77777777" w:rsidR="00404C8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同日，双方还签署了空箱调运中心项目合资协议，这将加快上海港空箱周转效率，提高空箱在上海、长三角、长江沿线区域以及东北亚地区港口间的流转效率，进一步提升上海港对全球空箱的资源配置能力和水平，服务和保障全球供应链产业链。（上港集团）</w:t>
      </w:r>
    </w:p>
    <w:p w14:paraId="017F8495" w14:textId="77777777" w:rsidR="00404C8A" w:rsidRDefault="00404C8A">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p>
    <w:p w14:paraId="140E0C2B" w14:textId="77777777" w:rsidR="00404C8A" w:rsidRDefault="00404C8A">
      <w:pPr>
        <w:pStyle w:val="2"/>
        <w:rPr>
          <w:rFonts w:ascii="Times New Roman" w:eastAsia="华文中宋" w:hAnsi="Times New Roman" w:cs="华文中宋"/>
          <w:sz w:val="36"/>
          <w:szCs w:val="36"/>
          <w:shd w:val="clear" w:color="auto" w:fill="FFFFFF"/>
          <w:lang w:bidi="ar"/>
        </w:rPr>
      </w:pPr>
    </w:p>
    <w:p w14:paraId="79F57E66" w14:textId="77777777" w:rsidR="00404C8A" w:rsidRDefault="00404C8A">
      <w:pPr>
        <w:pStyle w:val="20"/>
        <w:ind w:left="480" w:firstLine="640"/>
      </w:pPr>
    </w:p>
    <w:p w14:paraId="59FEFDE9" w14:textId="77777777" w:rsidR="00404C8A"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数字赋能</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引领未来</w:t>
      </w:r>
    </w:p>
    <w:p w14:paraId="265FB6A0" w14:textId="77777777" w:rsidR="00404C8A"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隧道股份以数字技术持续推动城市管理手段创新</w:t>
      </w:r>
    </w:p>
    <w:p w14:paraId="40EDEFF1" w14:textId="77777777" w:rsidR="00404C8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近日，经过为期</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年的试运行，由隧道股份数字集团打造的全国首个整合</w:t>
      </w:r>
      <w:r>
        <w:rPr>
          <w:rFonts w:ascii="Times New Roman" w:eastAsia="仿宋_GB2312" w:hAnsi="Times New Roman" w:hint="eastAsia"/>
          <w:sz w:val="32"/>
          <w:szCs w:val="32"/>
          <w:lang w:bidi="ar"/>
        </w:rPr>
        <w:t>BIM</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GIS</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CAD</w:t>
      </w:r>
      <w:r>
        <w:rPr>
          <w:rFonts w:ascii="Times New Roman" w:eastAsia="仿宋_GB2312" w:hAnsi="Times New Roman" w:hint="eastAsia"/>
          <w:sz w:val="32"/>
          <w:szCs w:val="32"/>
          <w:lang w:bidi="ar"/>
        </w:rPr>
        <w:t>技术的市政道路“前期规划协同管理平台”正式上线。已成功应用于上海市漕宝路快速路工程、</w:t>
      </w:r>
      <w:r>
        <w:rPr>
          <w:rFonts w:ascii="Times New Roman" w:eastAsia="仿宋_GB2312" w:hAnsi="Times New Roman" w:hint="eastAsia"/>
          <w:sz w:val="32"/>
          <w:szCs w:val="32"/>
          <w:lang w:bidi="ar"/>
        </w:rPr>
        <w:t>S32</w:t>
      </w:r>
      <w:r>
        <w:rPr>
          <w:rFonts w:ascii="Times New Roman" w:eastAsia="仿宋_GB2312" w:hAnsi="Times New Roman" w:hint="eastAsia"/>
          <w:sz w:val="32"/>
          <w:szCs w:val="32"/>
          <w:lang w:bidi="ar"/>
        </w:rPr>
        <w:t>公路立交工程、</w:t>
      </w:r>
      <w:r>
        <w:rPr>
          <w:rFonts w:ascii="Times New Roman" w:eastAsia="仿宋_GB2312" w:hAnsi="Times New Roman" w:hint="eastAsia"/>
          <w:sz w:val="32"/>
          <w:szCs w:val="32"/>
          <w:lang w:bidi="ar"/>
        </w:rPr>
        <w:t>G15</w:t>
      </w:r>
      <w:r>
        <w:rPr>
          <w:rFonts w:ascii="Times New Roman" w:eastAsia="仿宋_GB2312" w:hAnsi="Times New Roman" w:hint="eastAsia"/>
          <w:sz w:val="32"/>
          <w:szCs w:val="32"/>
          <w:lang w:bidi="ar"/>
        </w:rPr>
        <w:t>公路嘉金段工程、油墩港航道工程等</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余个项目的前期规划。</w:t>
      </w:r>
    </w:p>
    <w:p w14:paraId="031AC5E6" w14:textId="77777777" w:rsidR="00404C8A"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该平台通过多维信息集成、可视化分析、三维场景交互等手段，有效帮助管理人员快速发现潜在隐患，预先把道路施工对周边居民、单位的影响降到最低，全面辅助市政规划方案优化，切实提升决策效率和准确度。</w:t>
      </w:r>
    </w:p>
    <w:p w14:paraId="3526B7C3" w14:textId="77777777" w:rsidR="00404C8A"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更直观——数字技术“集大成”。</w:t>
      </w:r>
      <w:r>
        <w:rPr>
          <w:rFonts w:ascii="Times New Roman" w:eastAsia="仿宋_GB2312" w:hAnsi="Times New Roman" w:hint="eastAsia"/>
          <w:sz w:val="32"/>
          <w:szCs w:val="32"/>
          <w:lang w:bidi="ar"/>
        </w:rPr>
        <w:t>平台深度融合</w:t>
      </w:r>
      <w:r>
        <w:rPr>
          <w:rFonts w:ascii="Times New Roman" w:eastAsia="仿宋_GB2312" w:hAnsi="Times New Roman" w:hint="eastAsia"/>
          <w:sz w:val="32"/>
          <w:szCs w:val="32"/>
          <w:lang w:bidi="ar"/>
        </w:rPr>
        <w:t>BIM</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GIS</w:t>
      </w:r>
      <w:r>
        <w:rPr>
          <w:rFonts w:ascii="Times New Roman" w:eastAsia="仿宋_GB2312" w:hAnsi="Times New Roman" w:hint="eastAsia"/>
          <w:sz w:val="32"/>
          <w:szCs w:val="32"/>
          <w:lang w:bidi="ar"/>
        </w:rPr>
        <w:t>和前期规划管理理念，创新应用了空地联合影像融合建模、矢量驱动建模技术和基于实景影像、</w:t>
      </w:r>
      <w:r>
        <w:rPr>
          <w:rFonts w:ascii="Times New Roman" w:eastAsia="仿宋_GB2312" w:hAnsi="Times New Roman" w:hint="eastAsia"/>
          <w:sz w:val="32"/>
          <w:szCs w:val="32"/>
          <w:lang w:bidi="ar"/>
        </w:rPr>
        <w:t>BIM</w:t>
      </w:r>
      <w:r>
        <w:rPr>
          <w:rFonts w:ascii="Times New Roman" w:eastAsia="仿宋_GB2312" w:hAnsi="Times New Roman" w:hint="eastAsia"/>
          <w:sz w:val="32"/>
          <w:szCs w:val="32"/>
          <w:lang w:bidi="ar"/>
        </w:rPr>
        <w:t>融合的工程规划空间分析等技术，为工程规划前期管理提供了行之有效的可视化分析决策手段，使前期规划变得更为直观，是数字集团数字化能力的“集大成”体现，目前该平台现已获发明专利</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项、软件著作权</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项。</w:t>
      </w:r>
    </w:p>
    <w:p w14:paraId="296477F4" w14:textId="77777777" w:rsidR="00404C8A"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更高效——前期决策“全解答”。</w:t>
      </w:r>
      <w:r>
        <w:rPr>
          <w:rFonts w:ascii="Times New Roman" w:eastAsia="仿宋_GB2312" w:hAnsi="Times New Roman" w:hint="eastAsia"/>
          <w:sz w:val="32"/>
          <w:szCs w:val="32"/>
          <w:lang w:bidi="ar"/>
        </w:rPr>
        <w:t>平台支持“周边环境”横向对比和“多种方案”纵向对比，使市政道路规划中的碰</w:t>
      </w:r>
      <w:r>
        <w:rPr>
          <w:rFonts w:ascii="Times New Roman" w:eastAsia="仿宋_GB2312" w:hAnsi="Times New Roman" w:hint="eastAsia"/>
          <w:sz w:val="32"/>
          <w:szCs w:val="32"/>
          <w:lang w:bidi="ar"/>
        </w:rPr>
        <w:lastRenderedPageBreak/>
        <w:t>撞分析、土地拆迁、管线改建、噪声分析、绿化移植、交通流量等散点信息集聚在平台上一览无余，有效解决了前期决策跨部门的沟通难题，相较于传统的</w:t>
      </w:r>
      <w:r>
        <w:rPr>
          <w:rFonts w:ascii="Times New Roman" w:eastAsia="仿宋_GB2312" w:hAnsi="Times New Roman" w:hint="eastAsia"/>
          <w:sz w:val="32"/>
          <w:szCs w:val="32"/>
          <w:lang w:bidi="ar"/>
        </w:rPr>
        <w:t>PPT</w:t>
      </w:r>
      <w:r>
        <w:rPr>
          <w:rFonts w:ascii="Times New Roman" w:eastAsia="仿宋_GB2312" w:hAnsi="Times New Roman" w:hint="eastAsia"/>
          <w:sz w:val="32"/>
          <w:szCs w:val="32"/>
          <w:lang w:bidi="ar"/>
        </w:rPr>
        <w:t>和</w:t>
      </w:r>
      <w:r>
        <w:rPr>
          <w:rFonts w:ascii="Times New Roman" w:eastAsia="仿宋_GB2312" w:hAnsi="Times New Roman" w:hint="eastAsia"/>
          <w:sz w:val="32"/>
          <w:szCs w:val="32"/>
          <w:lang w:bidi="ar"/>
        </w:rPr>
        <w:t>CAD</w:t>
      </w:r>
      <w:r>
        <w:rPr>
          <w:rFonts w:ascii="Times New Roman" w:eastAsia="仿宋_GB2312" w:hAnsi="Times New Roman" w:hint="eastAsia"/>
          <w:sz w:val="32"/>
          <w:szCs w:val="32"/>
          <w:lang w:bidi="ar"/>
        </w:rPr>
        <w:t>汇报，该平台可将工程的规划方案总体沟通效率提高</w:t>
      </w:r>
      <w:r>
        <w:rPr>
          <w:rFonts w:ascii="Times New Roman" w:eastAsia="仿宋_GB2312" w:hAnsi="Times New Roman" w:hint="eastAsia"/>
          <w:sz w:val="32"/>
          <w:szCs w:val="32"/>
          <w:lang w:bidi="ar"/>
        </w:rPr>
        <w:t>50%</w:t>
      </w:r>
      <w:r>
        <w:rPr>
          <w:rFonts w:ascii="Times New Roman" w:eastAsia="仿宋_GB2312" w:hAnsi="Times New Roman" w:hint="eastAsia"/>
          <w:sz w:val="32"/>
          <w:szCs w:val="32"/>
          <w:lang w:bidi="ar"/>
        </w:rPr>
        <w:t>，前期决策效率提高</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w:t>
      </w:r>
    </w:p>
    <w:p w14:paraId="0E5A9A65" w14:textId="77777777" w:rsidR="00404C8A"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数字赋能——让前期规划更智慧、更经济。</w:t>
      </w:r>
      <w:r>
        <w:rPr>
          <w:rFonts w:ascii="Times New Roman" w:eastAsia="仿宋_GB2312" w:hAnsi="Times New Roman" w:hint="eastAsia"/>
          <w:sz w:val="32"/>
          <w:szCs w:val="32"/>
          <w:lang w:bidi="ar"/>
        </w:rPr>
        <w:t>平台已成功应用于漕宝路智慧快速路新建工程前期规划。工程主线西起嘉闵高架立交，东至漕宝路桂平路交叉口，全长约</w:t>
      </w:r>
      <w:r>
        <w:rPr>
          <w:rFonts w:ascii="Times New Roman" w:eastAsia="仿宋_GB2312" w:hAnsi="Times New Roman" w:hint="eastAsia"/>
          <w:sz w:val="32"/>
          <w:szCs w:val="32"/>
          <w:lang w:bidi="ar"/>
        </w:rPr>
        <w:t>7.2</w:t>
      </w:r>
      <w:r>
        <w:rPr>
          <w:rFonts w:ascii="Times New Roman" w:eastAsia="仿宋_GB2312" w:hAnsi="Times New Roman" w:hint="eastAsia"/>
          <w:sz w:val="32"/>
          <w:szCs w:val="32"/>
          <w:lang w:bidi="ar"/>
        </w:rPr>
        <w:t>千米。平台集成该工程设计方案</w:t>
      </w:r>
      <w:r>
        <w:rPr>
          <w:rFonts w:ascii="Times New Roman" w:eastAsia="仿宋_GB2312" w:hAnsi="Times New Roman" w:hint="eastAsia"/>
          <w:sz w:val="32"/>
          <w:szCs w:val="32"/>
          <w:lang w:bidi="ar"/>
        </w:rPr>
        <w:t>25</w:t>
      </w:r>
      <w:r>
        <w:rPr>
          <w:rFonts w:ascii="Times New Roman" w:eastAsia="仿宋_GB2312" w:hAnsi="Times New Roman" w:hint="eastAsia"/>
          <w:sz w:val="32"/>
          <w:szCs w:val="32"/>
          <w:lang w:bidi="ar"/>
        </w:rPr>
        <w:t>项，管理各类文件</w:t>
      </w:r>
      <w:r>
        <w:rPr>
          <w:rFonts w:ascii="Times New Roman" w:eastAsia="仿宋_GB2312" w:hAnsi="Times New Roman" w:hint="eastAsia"/>
          <w:sz w:val="32"/>
          <w:szCs w:val="32"/>
          <w:lang w:bidi="ar"/>
        </w:rPr>
        <w:t>416</w:t>
      </w:r>
      <w:r>
        <w:rPr>
          <w:rFonts w:ascii="Times New Roman" w:eastAsia="仿宋_GB2312" w:hAnsi="Times New Roman" w:hint="eastAsia"/>
          <w:sz w:val="32"/>
          <w:szCs w:val="32"/>
          <w:lang w:bidi="ar"/>
        </w:rPr>
        <w:t>份，证照</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项，实现了分类展示征地动拆、管线搬迁、噪音影响、交通流量等规划决策指标，提升了项目规划方案决策效率和决策有效性，同时控制工程建设整体投资成本。</w:t>
      </w:r>
    </w:p>
    <w:p w14:paraId="44E1C47F" w14:textId="77777777" w:rsidR="00404C8A"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持续升级——</w:t>
      </w:r>
      <w:r>
        <w:rPr>
          <w:rFonts w:ascii="Times New Roman" w:eastAsia="仿宋_GB2312" w:hAnsi="Times New Roman" w:hint="eastAsia"/>
          <w:b/>
          <w:bCs/>
          <w:sz w:val="32"/>
          <w:szCs w:val="32"/>
          <w:lang w:bidi="ar"/>
        </w:rPr>
        <w:t>2.0</w:t>
      </w:r>
      <w:r>
        <w:rPr>
          <w:rFonts w:ascii="Times New Roman" w:eastAsia="仿宋_GB2312" w:hAnsi="Times New Roman" w:hint="eastAsia"/>
          <w:b/>
          <w:bCs/>
          <w:sz w:val="32"/>
          <w:szCs w:val="32"/>
          <w:lang w:bidi="ar"/>
        </w:rPr>
        <w:t>版本预计可于年内发布。</w:t>
      </w:r>
      <w:r>
        <w:rPr>
          <w:rFonts w:ascii="Times New Roman" w:eastAsia="仿宋_GB2312" w:hAnsi="Times New Roman" w:hint="eastAsia"/>
          <w:sz w:val="32"/>
          <w:szCs w:val="32"/>
          <w:lang w:bidi="ar"/>
        </w:rPr>
        <w:t>在当前</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版本成果管理、方案配置、方案展示、证照管理模块基础上，隧道股份数字集团将持续推动</w:t>
      </w:r>
      <w:r>
        <w:rPr>
          <w:rFonts w:ascii="Times New Roman" w:eastAsia="仿宋_GB2312" w:hAnsi="Times New Roman" w:hint="eastAsia"/>
          <w:sz w:val="32"/>
          <w:szCs w:val="32"/>
          <w:lang w:bidi="ar"/>
        </w:rPr>
        <w:t>BIM</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GIS</w:t>
      </w:r>
      <w:r>
        <w:rPr>
          <w:rFonts w:ascii="Times New Roman" w:eastAsia="仿宋_GB2312" w:hAnsi="Times New Roman" w:hint="eastAsia"/>
          <w:sz w:val="32"/>
          <w:szCs w:val="32"/>
          <w:lang w:bidi="ar"/>
        </w:rPr>
        <w:t>等信息技术在市政道路工程前期规划阶段应用与发展，平台</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版本将新增要素管理、证照库、企业级大屏、基础数据管理等模块，可全面透视市政道路规划细节，进一步强化前期各方协同，提升信息共享能级。（隧道股份）</w:t>
      </w:r>
    </w:p>
    <w:p w14:paraId="243C11A2" w14:textId="77777777" w:rsidR="00404C8A" w:rsidRDefault="00404C8A">
      <w:pPr>
        <w:pStyle w:val="2"/>
        <w:rPr>
          <w:rFonts w:ascii="Times New Roman" w:eastAsia="仿宋_GB2312" w:hAnsi="Times New Roman"/>
          <w:sz w:val="32"/>
          <w:szCs w:val="32"/>
          <w:lang w:bidi="ar"/>
        </w:rPr>
      </w:pPr>
    </w:p>
    <w:p w14:paraId="2F7D30FF" w14:textId="77777777" w:rsidR="00404C8A" w:rsidRDefault="00404C8A">
      <w:pPr>
        <w:widowControl w:val="0"/>
        <w:numPr>
          <w:ilvl w:val="255"/>
          <w:numId w:val="0"/>
        </w:numPr>
        <w:ind w:firstLineChars="200" w:firstLine="480"/>
        <w:jc w:val="both"/>
      </w:pPr>
    </w:p>
    <w:sectPr w:rsidR="00404C8A">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84ED" w14:textId="77777777" w:rsidR="00F12CE6" w:rsidRDefault="00F12CE6">
      <w:r>
        <w:separator/>
      </w:r>
    </w:p>
  </w:endnote>
  <w:endnote w:type="continuationSeparator" w:id="0">
    <w:p w14:paraId="51A72523" w14:textId="77777777" w:rsidR="00F12CE6" w:rsidRDefault="00F1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191BF255" w14:textId="77777777" w:rsidR="00404C8A"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602C5BED" w14:textId="77777777" w:rsidR="00404C8A" w:rsidRDefault="00404C8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54085D07" w14:textId="77777777" w:rsidR="00404C8A"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5FE5ABA2" w14:textId="77777777" w:rsidR="00404C8A" w:rsidRDefault="00404C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8F53B" w14:textId="77777777" w:rsidR="00F12CE6" w:rsidRDefault="00F12CE6">
      <w:r>
        <w:separator/>
      </w:r>
    </w:p>
  </w:footnote>
  <w:footnote w:type="continuationSeparator" w:id="0">
    <w:p w14:paraId="5538249C" w14:textId="77777777" w:rsidR="00F12CE6" w:rsidRDefault="00F12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45764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04C8A"/>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62579"/>
    <w:rsid w:val="009B48F2"/>
    <w:rsid w:val="009B73F6"/>
    <w:rsid w:val="009C00C2"/>
    <w:rsid w:val="009E005E"/>
    <w:rsid w:val="009E222B"/>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A2FAC"/>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12CE6"/>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3F662D"/>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510960"/>
    <w:rsid w:val="0561044A"/>
    <w:rsid w:val="056441D3"/>
    <w:rsid w:val="056905C6"/>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0F5F75"/>
    <w:rsid w:val="0C3E6914"/>
    <w:rsid w:val="0C582584"/>
    <w:rsid w:val="0C5D06E6"/>
    <w:rsid w:val="0C6C3047"/>
    <w:rsid w:val="0C7565A8"/>
    <w:rsid w:val="0CAD6525"/>
    <w:rsid w:val="0CC00B47"/>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759BB"/>
    <w:rsid w:val="107B2FAF"/>
    <w:rsid w:val="10807427"/>
    <w:rsid w:val="109E0A4B"/>
    <w:rsid w:val="10CD30DE"/>
    <w:rsid w:val="10EE0E2F"/>
    <w:rsid w:val="110B69CC"/>
    <w:rsid w:val="112A6783"/>
    <w:rsid w:val="113F3B94"/>
    <w:rsid w:val="115E4FD3"/>
    <w:rsid w:val="116B4B73"/>
    <w:rsid w:val="11C343A8"/>
    <w:rsid w:val="11CB1D14"/>
    <w:rsid w:val="11E579A3"/>
    <w:rsid w:val="12100618"/>
    <w:rsid w:val="12B62D7F"/>
    <w:rsid w:val="12B75D5C"/>
    <w:rsid w:val="12D673A1"/>
    <w:rsid w:val="12E110C3"/>
    <w:rsid w:val="12E54BF2"/>
    <w:rsid w:val="12FF7805"/>
    <w:rsid w:val="131B394A"/>
    <w:rsid w:val="131B45D5"/>
    <w:rsid w:val="133826F0"/>
    <w:rsid w:val="136525A5"/>
    <w:rsid w:val="136F0D23"/>
    <w:rsid w:val="137B0967"/>
    <w:rsid w:val="137F4254"/>
    <w:rsid w:val="13B133B7"/>
    <w:rsid w:val="13B37082"/>
    <w:rsid w:val="13BE1CB6"/>
    <w:rsid w:val="13E23345"/>
    <w:rsid w:val="13FF9570"/>
    <w:rsid w:val="140F6CD8"/>
    <w:rsid w:val="142259AD"/>
    <w:rsid w:val="143134CE"/>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2872C1"/>
    <w:rsid w:val="17316B01"/>
    <w:rsid w:val="174724F7"/>
    <w:rsid w:val="1751381D"/>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69745E"/>
    <w:rsid w:val="1B6B0D73"/>
    <w:rsid w:val="1B6D28A5"/>
    <w:rsid w:val="1B7F2AE9"/>
    <w:rsid w:val="1B90327A"/>
    <w:rsid w:val="1B9723D1"/>
    <w:rsid w:val="1B9B8638"/>
    <w:rsid w:val="1BB074A7"/>
    <w:rsid w:val="1BB4747C"/>
    <w:rsid w:val="1BB8C628"/>
    <w:rsid w:val="1BBB39A1"/>
    <w:rsid w:val="1BBDE88B"/>
    <w:rsid w:val="1BC34195"/>
    <w:rsid w:val="1BD8567E"/>
    <w:rsid w:val="1BDF22F2"/>
    <w:rsid w:val="1C312724"/>
    <w:rsid w:val="1C366EC8"/>
    <w:rsid w:val="1C4D7F52"/>
    <w:rsid w:val="1C733010"/>
    <w:rsid w:val="1C805614"/>
    <w:rsid w:val="1CA71F00"/>
    <w:rsid w:val="1CBD3FFE"/>
    <w:rsid w:val="1CBE2FD4"/>
    <w:rsid w:val="1CBFAB87"/>
    <w:rsid w:val="1CC35F1C"/>
    <w:rsid w:val="1CDC7546"/>
    <w:rsid w:val="1CF33ECD"/>
    <w:rsid w:val="1D0258A9"/>
    <w:rsid w:val="1D07EEB4"/>
    <w:rsid w:val="1D2251D7"/>
    <w:rsid w:val="1D3F399A"/>
    <w:rsid w:val="1D480111"/>
    <w:rsid w:val="1D481109"/>
    <w:rsid w:val="1D5361AD"/>
    <w:rsid w:val="1D78CB1B"/>
    <w:rsid w:val="1DA96B97"/>
    <w:rsid w:val="1DAA4ED3"/>
    <w:rsid w:val="1DE226F6"/>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5344C2"/>
    <w:rsid w:val="276A122F"/>
    <w:rsid w:val="27752CC6"/>
    <w:rsid w:val="27A07C73"/>
    <w:rsid w:val="27A651C9"/>
    <w:rsid w:val="27AE2E87"/>
    <w:rsid w:val="27B572E1"/>
    <w:rsid w:val="27D8516B"/>
    <w:rsid w:val="27DB911B"/>
    <w:rsid w:val="27FE3BCB"/>
    <w:rsid w:val="2858552C"/>
    <w:rsid w:val="288E6BD5"/>
    <w:rsid w:val="28A2213D"/>
    <w:rsid w:val="28B0060B"/>
    <w:rsid w:val="28BB5D28"/>
    <w:rsid w:val="28C03598"/>
    <w:rsid w:val="28DB1529"/>
    <w:rsid w:val="28F15BC1"/>
    <w:rsid w:val="28FB3D1E"/>
    <w:rsid w:val="29146F2D"/>
    <w:rsid w:val="29233EE7"/>
    <w:rsid w:val="29283896"/>
    <w:rsid w:val="292B1457"/>
    <w:rsid w:val="293D309F"/>
    <w:rsid w:val="2944442E"/>
    <w:rsid w:val="29513A7E"/>
    <w:rsid w:val="29625B64"/>
    <w:rsid w:val="297266AA"/>
    <w:rsid w:val="29770FFB"/>
    <w:rsid w:val="29E67538"/>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5548B8"/>
    <w:rsid w:val="2E710C25"/>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D0545"/>
    <w:rsid w:val="33F1223B"/>
    <w:rsid w:val="33F5325C"/>
    <w:rsid w:val="33FD1B1D"/>
    <w:rsid w:val="34071D68"/>
    <w:rsid w:val="343B70D4"/>
    <w:rsid w:val="34693182"/>
    <w:rsid w:val="346A2930"/>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5B3FD0"/>
    <w:rsid w:val="375C659B"/>
    <w:rsid w:val="3777C8DA"/>
    <w:rsid w:val="378F705B"/>
    <w:rsid w:val="378F79B9"/>
    <w:rsid w:val="37AB4837"/>
    <w:rsid w:val="37BD621F"/>
    <w:rsid w:val="37C16C4A"/>
    <w:rsid w:val="37C52B3F"/>
    <w:rsid w:val="37D7135C"/>
    <w:rsid w:val="37DF1561"/>
    <w:rsid w:val="37DF2D92"/>
    <w:rsid w:val="37F8AF0C"/>
    <w:rsid w:val="37FE0197"/>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C16AF"/>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7A8A"/>
    <w:rsid w:val="3DCF13E9"/>
    <w:rsid w:val="3DE6782B"/>
    <w:rsid w:val="3DF32DF4"/>
    <w:rsid w:val="3DF6A376"/>
    <w:rsid w:val="3DFD78BC"/>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17BAB"/>
    <w:rsid w:val="412D70DB"/>
    <w:rsid w:val="412F607B"/>
    <w:rsid w:val="41356D39"/>
    <w:rsid w:val="41434DB8"/>
    <w:rsid w:val="4158687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71D28A5"/>
    <w:rsid w:val="47541888"/>
    <w:rsid w:val="475573AE"/>
    <w:rsid w:val="475F2220"/>
    <w:rsid w:val="475F6B28"/>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D5F65"/>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501CA0"/>
    <w:rsid w:val="5167665C"/>
    <w:rsid w:val="516A3A56"/>
    <w:rsid w:val="519138FA"/>
    <w:rsid w:val="51974FB6"/>
    <w:rsid w:val="51C276E7"/>
    <w:rsid w:val="51F64CB1"/>
    <w:rsid w:val="51FA933B"/>
    <w:rsid w:val="51FDE05F"/>
    <w:rsid w:val="521EFBAC"/>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883D23"/>
    <w:rsid w:val="5799F0CD"/>
    <w:rsid w:val="579F3F38"/>
    <w:rsid w:val="57AA4DA3"/>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7BFB7A"/>
    <w:rsid w:val="597D4C6F"/>
    <w:rsid w:val="597E95DD"/>
    <w:rsid w:val="59891F7D"/>
    <w:rsid w:val="599DE3C1"/>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6D5A5B"/>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B3CD3"/>
    <w:rsid w:val="6948576C"/>
    <w:rsid w:val="695D32A8"/>
    <w:rsid w:val="695F3B77"/>
    <w:rsid w:val="697ED089"/>
    <w:rsid w:val="69842120"/>
    <w:rsid w:val="699E0216"/>
    <w:rsid w:val="69A26117"/>
    <w:rsid w:val="69B13883"/>
    <w:rsid w:val="69B4119E"/>
    <w:rsid w:val="69C02F35"/>
    <w:rsid w:val="69C20A63"/>
    <w:rsid w:val="69CD3731"/>
    <w:rsid w:val="69F6E7F1"/>
    <w:rsid w:val="6A15449D"/>
    <w:rsid w:val="6A1A162E"/>
    <w:rsid w:val="6A1E3383"/>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67C1A3"/>
    <w:rsid w:val="756F8787"/>
    <w:rsid w:val="75722D56"/>
    <w:rsid w:val="757350D2"/>
    <w:rsid w:val="757D2D9D"/>
    <w:rsid w:val="757F3835"/>
    <w:rsid w:val="75825BCB"/>
    <w:rsid w:val="758451D9"/>
    <w:rsid w:val="75D3009C"/>
    <w:rsid w:val="75DFD2B6"/>
    <w:rsid w:val="75E914E0"/>
    <w:rsid w:val="75F91781"/>
    <w:rsid w:val="75F9F003"/>
    <w:rsid w:val="75FD1071"/>
    <w:rsid w:val="75FD2CE7"/>
    <w:rsid w:val="75FD8C3E"/>
    <w:rsid w:val="75FECA87"/>
    <w:rsid w:val="75FF1DDF"/>
    <w:rsid w:val="75FF4D97"/>
    <w:rsid w:val="760765AF"/>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63EDB68"/>
  <w15:docId w15:val="{04881325-9DB7-6742-99D8-B4DEC6A7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2569</Words>
  <Characters>2596</Characters>
  <Application>Microsoft Office Word</Application>
  <DocSecurity>0</DocSecurity>
  <Lines>129</Lines>
  <Paragraphs>55</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4</cp:revision>
  <cp:lastPrinted>2023-03-31T02:49:00Z</cp:lastPrinted>
  <dcterms:created xsi:type="dcterms:W3CDTF">2022-12-29T01:47:00Z</dcterms:created>
  <dcterms:modified xsi:type="dcterms:W3CDTF">2023-04-03T08:57:00Z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8EF9EE6AA81EC06B084726645A04E8D0</vt:lpwstr>
  </property>
</Properties>
</file>