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96" w:rsidRDefault="00C56905">
      <w:pPr>
        <w:ind w:rightChars="-42" w:right="-88"/>
        <w:jc w:val="center"/>
        <w:rPr>
          <w:rFonts w:ascii="Monotype Corsiva" w:eastAsia="方正舒体" w:hAnsi="Monotype Corsiva"/>
          <w:b/>
          <w:sz w:val="36"/>
          <w:szCs w:val="36"/>
        </w:rPr>
      </w:pPr>
      <w:r>
        <w:rPr>
          <w:rFonts w:ascii="华文行楷" w:eastAsia="华文行楷" w:hint="eastAsia"/>
          <w:color w:val="FF0000"/>
          <w:spacing w:val="-60"/>
          <w:sz w:val="180"/>
          <w:szCs w:val="180"/>
        </w:rPr>
        <w:t>上海国资</w:t>
      </w:r>
    </w:p>
    <w:p w:rsidR="00FA7396" w:rsidRDefault="00C56905">
      <w:pPr>
        <w:spacing w:line="480" w:lineRule="exact"/>
        <w:ind w:rightChars="-42" w:right="-88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第</w:t>
      </w:r>
      <w:r w:rsidR="006D6208">
        <w:rPr>
          <w:rFonts w:ascii="宋体" w:hAnsi="宋体" w:hint="eastAsia"/>
          <w:b/>
          <w:sz w:val="32"/>
        </w:rPr>
        <w:t>35</w:t>
      </w:r>
      <w:r>
        <w:rPr>
          <w:rFonts w:ascii="宋体" w:hAnsi="宋体" w:hint="eastAsia"/>
          <w:b/>
          <w:sz w:val="32"/>
        </w:rPr>
        <w:t>期</w:t>
      </w:r>
    </w:p>
    <w:p w:rsidR="00FA7396" w:rsidRPr="00DD6737" w:rsidRDefault="00FA7396">
      <w:pPr>
        <w:spacing w:line="480" w:lineRule="exact"/>
        <w:ind w:rightChars="-42" w:right="-88"/>
        <w:jc w:val="center"/>
        <w:rPr>
          <w:rFonts w:ascii="宋体"/>
          <w:b/>
          <w:sz w:val="32"/>
        </w:rPr>
      </w:pPr>
    </w:p>
    <w:p w:rsidR="00FA7396" w:rsidRDefault="00C56905">
      <w:pPr>
        <w:spacing w:line="360" w:lineRule="exact"/>
        <w:ind w:rightChars="-42" w:right="-88"/>
        <w:rPr>
          <w:rFonts w:ascii="楷体_GB2312" w:eastAsia="楷体_GB2312" w:hAnsi="宋体"/>
          <w:b/>
          <w:spacing w:val="-14"/>
          <w:sz w:val="32"/>
        </w:rPr>
      </w:pPr>
      <w:r>
        <w:rPr>
          <w:rFonts w:ascii="楷体_GB2312" w:eastAsia="楷体_GB2312" w:hAnsi="宋体" w:hint="eastAsia"/>
          <w:spacing w:val="-14"/>
          <w:sz w:val="28"/>
        </w:rPr>
        <w:t>中共上海市国有资产监督管理委员会委员会办公室</w:t>
      </w:r>
    </w:p>
    <w:p w:rsidR="00FA7396" w:rsidRDefault="00A90C9D">
      <w:pPr>
        <w:spacing w:line="360" w:lineRule="exact"/>
        <w:ind w:rightChars="-42" w:right="-88"/>
        <w:rPr>
          <w:rFonts w:ascii="楷体_GB2312" w:eastAsia="楷体_GB2312" w:hAnsi="宋体"/>
          <w:spacing w:val="-14"/>
          <w:sz w:val="28"/>
          <w:u w:val="single" w:color="FF0000"/>
        </w:rPr>
      </w:pPr>
      <w:r>
        <w:rPr>
          <w:rFonts w:ascii="楷体_GB2312" w:eastAsia="楷体_GB2312" w:hAnsi="宋体" w:hint="eastAsia"/>
          <w:spacing w:val="-22"/>
          <w:sz w:val="28"/>
          <w:u w:val="single" w:color="FF0000"/>
        </w:rPr>
        <w:t>上 海 市 国 有 资 产 监 督 管 理 委 员 会 办 公 室</w:t>
      </w:r>
      <w:r w:rsidR="008602D7">
        <w:rPr>
          <w:rFonts w:ascii="楷体_GB2312" w:eastAsia="楷体_GB2312" w:hAnsi="宋体" w:hint="eastAsia"/>
          <w:spacing w:val="-22"/>
          <w:sz w:val="28"/>
          <w:u w:val="single" w:color="FF0000"/>
        </w:rPr>
        <w:t xml:space="preserve">      </w:t>
      </w:r>
      <w:r>
        <w:rPr>
          <w:rFonts w:ascii="楷体_GB2312" w:eastAsia="楷体_GB2312" w:hAnsi="宋体" w:hint="eastAsia"/>
          <w:spacing w:val="-22"/>
          <w:sz w:val="28"/>
          <w:u w:val="single" w:color="FF0000"/>
        </w:rPr>
        <w:t xml:space="preserve"> </w:t>
      </w:r>
      <w:r w:rsidR="00C56905">
        <w:rPr>
          <w:rFonts w:ascii="楷体_GB2312" w:eastAsia="楷体_GB2312" w:hAnsi="宋体"/>
          <w:spacing w:val="-14"/>
          <w:sz w:val="28"/>
          <w:u w:val="single" w:color="FF0000"/>
        </w:rPr>
        <w:t>2019</w:t>
      </w:r>
      <w:r w:rsidR="00C56905">
        <w:rPr>
          <w:rFonts w:ascii="楷体_GB2312" w:eastAsia="楷体_GB2312" w:hAnsi="宋体" w:hint="eastAsia"/>
          <w:spacing w:val="-14"/>
          <w:sz w:val="28"/>
          <w:u w:val="single" w:color="FF0000"/>
        </w:rPr>
        <w:t>年</w:t>
      </w:r>
      <w:r w:rsidR="006D6208">
        <w:rPr>
          <w:rFonts w:ascii="楷体_GB2312" w:eastAsia="楷体_GB2312" w:hAnsi="宋体" w:hint="eastAsia"/>
          <w:spacing w:val="-14"/>
          <w:sz w:val="28"/>
          <w:u w:val="single" w:color="FF0000"/>
        </w:rPr>
        <w:t>11</w:t>
      </w:r>
      <w:r w:rsidR="00C56905">
        <w:rPr>
          <w:rFonts w:ascii="楷体_GB2312" w:eastAsia="楷体_GB2312" w:hAnsi="宋体" w:hint="eastAsia"/>
          <w:spacing w:val="-14"/>
          <w:sz w:val="28"/>
          <w:u w:val="single" w:color="FF0000"/>
        </w:rPr>
        <w:t>月</w:t>
      </w:r>
      <w:r w:rsidR="002E6AEE">
        <w:rPr>
          <w:rFonts w:ascii="楷体_GB2312" w:eastAsia="楷体_GB2312" w:hAnsi="宋体" w:hint="eastAsia"/>
          <w:spacing w:val="-14"/>
          <w:sz w:val="28"/>
          <w:u w:val="single" w:color="FF0000"/>
        </w:rPr>
        <w:t>10</w:t>
      </w:r>
      <w:r w:rsidR="00C56905">
        <w:rPr>
          <w:rFonts w:ascii="楷体_GB2312" w:eastAsia="楷体_GB2312" w:hAnsi="宋体" w:hint="eastAsia"/>
          <w:spacing w:val="-14"/>
          <w:sz w:val="28"/>
          <w:u w:val="single" w:color="FF0000"/>
        </w:rPr>
        <w:t>日</w:t>
      </w:r>
    </w:p>
    <w:p w:rsidR="00FA7396" w:rsidRDefault="00FA7396">
      <w:pPr>
        <w:spacing w:line="360" w:lineRule="exact"/>
        <w:ind w:rightChars="-42" w:right="-88"/>
        <w:rPr>
          <w:rFonts w:ascii="楷体_GB2312" w:eastAsia="楷体_GB2312" w:hAnsi="宋体"/>
          <w:spacing w:val="-14"/>
          <w:sz w:val="28"/>
          <w:u w:val="single" w:color="FF0000"/>
        </w:rPr>
      </w:pPr>
    </w:p>
    <w:p w:rsidR="00FA7396" w:rsidRDefault="00C56905" w:rsidP="002A536F">
      <w:pPr>
        <w:numPr>
          <w:ilvl w:val="0"/>
          <w:numId w:val="1"/>
        </w:numPr>
        <w:spacing w:afterLines="50" w:line="440" w:lineRule="exact"/>
        <w:ind w:rightChars="-42" w:right="-88"/>
        <w:rPr>
          <w:rFonts w:ascii="华文中宋" w:eastAsia="华文中宋" w:hAnsi="华文中宋" w:cs="仿宋_GB2312"/>
          <w:b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t>金融工作</w:t>
      </w:r>
    </w:p>
    <w:p w:rsidR="00FA7396" w:rsidRDefault="000D7214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0D7214">
        <w:rPr>
          <w:rFonts w:ascii="华文中宋" w:eastAsia="华文中宋" w:hAnsi="华文中宋" w:cs="仿宋_GB2312" w:hint="eastAsia"/>
          <w:b/>
          <w:sz w:val="28"/>
          <w:szCs w:val="28"/>
        </w:rPr>
        <w:t>浦发银行联合汇添富发行的长三角一体化ETF基金上市</w:t>
      </w:r>
    </w:p>
    <w:p w:rsidR="00FA7396" w:rsidRDefault="00FA7396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D22E35" w:rsidRPr="00D22E35" w:rsidRDefault="00D22E35" w:rsidP="008D3902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D22E35">
        <w:rPr>
          <w:rFonts w:ascii="仿宋_GB2312" w:eastAsia="仿宋_GB2312" w:hAnsi="MS Mincho" w:cs="MS Mincho" w:hint="eastAsia"/>
          <w:sz w:val="28"/>
          <w:szCs w:val="28"/>
        </w:rPr>
        <w:t>日前,由汇添富基金作为投资管理人</w:t>
      </w:r>
      <w:r w:rsidR="000746E6">
        <w:rPr>
          <w:rFonts w:ascii="仿宋_GB2312" w:eastAsia="仿宋_GB2312" w:hAnsi="MS Mincho" w:cs="MS Mincho" w:hint="eastAsia"/>
          <w:sz w:val="28"/>
          <w:szCs w:val="28"/>
        </w:rPr>
        <w:t>,</w:t>
      </w:r>
      <w:r w:rsidRPr="00D22E35">
        <w:rPr>
          <w:rFonts w:ascii="仿宋_GB2312" w:eastAsia="仿宋_GB2312" w:hAnsi="MS Mincho" w:cs="MS Mincho" w:hint="eastAsia"/>
          <w:sz w:val="28"/>
          <w:szCs w:val="28"/>
        </w:rPr>
        <w:t>浦发银行作为托管人的“中证长三角一体化发展主题交易型开放式指数证券投资基金”（简称“长三角一体化ETF”，代码：512650）在上海证券交易所上市。</w:t>
      </w:r>
    </w:p>
    <w:p w:rsidR="0033744E" w:rsidRPr="0033744E" w:rsidRDefault="00D22E35" w:rsidP="008D3902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D22E35">
        <w:rPr>
          <w:rFonts w:ascii="仿宋_GB2312" w:eastAsia="仿宋_GB2312" w:hAnsi="MS Mincho" w:cs="MS Mincho" w:hint="eastAsia"/>
          <w:sz w:val="28"/>
          <w:szCs w:val="28"/>
        </w:rPr>
        <w:t>长三角一体化ETF及联接基金分别于2019年7月和9月发行成立，总募集资金规模近75亿元，其中ETF基金募集规模64.29亿元，成为同期发行规模最大的公募基金产品之一。ETF联接基金募集规模10.47亿元，为</w:t>
      </w:r>
      <w:r w:rsidR="000D7214">
        <w:rPr>
          <w:rFonts w:ascii="仿宋_GB2312" w:eastAsia="仿宋_GB2312" w:hAnsi="MS Mincho" w:cs="MS Mincho" w:hint="eastAsia"/>
          <w:sz w:val="28"/>
          <w:szCs w:val="28"/>
        </w:rPr>
        <w:t>浦发银行</w:t>
      </w:r>
      <w:r w:rsidRPr="00D22E35">
        <w:rPr>
          <w:rFonts w:ascii="仿宋_GB2312" w:eastAsia="仿宋_GB2312" w:hAnsi="MS Mincho" w:cs="MS Mincho" w:hint="eastAsia"/>
          <w:sz w:val="28"/>
          <w:szCs w:val="28"/>
        </w:rPr>
        <w:t>托管主代销销量最高的权益基金</w:t>
      </w:r>
      <w:r w:rsidR="00E77D9F">
        <w:rPr>
          <w:rFonts w:ascii="仿宋_GB2312" w:eastAsia="仿宋_GB2312" w:hAnsi="MS Mincho" w:cs="MS Mincho" w:hint="eastAsia"/>
          <w:sz w:val="28"/>
          <w:szCs w:val="28"/>
        </w:rPr>
        <w:t>。</w:t>
      </w:r>
      <w:r w:rsidRPr="00D22E35">
        <w:rPr>
          <w:rFonts w:ascii="仿宋_GB2312" w:eastAsia="仿宋_GB2312" w:hAnsi="MS Mincho" w:cs="MS Mincho" w:hint="eastAsia"/>
          <w:sz w:val="28"/>
          <w:szCs w:val="28"/>
        </w:rPr>
        <w:t>发行期间，公司、个人投资者以及金融机构可以通过股票换购、现金认购等方式进行认购，上市后投资者便可在二级市场进行交易。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</w:t>
      </w:r>
      <w:r w:rsidR="0033744E">
        <w:rPr>
          <w:rFonts w:ascii="仿宋_GB2312" w:eastAsia="仿宋_GB2312" w:hAnsi="MS Mincho" w:cs="MS Mincho" w:hint="eastAsia"/>
          <w:sz w:val="28"/>
          <w:szCs w:val="28"/>
        </w:rPr>
        <w:t xml:space="preserve">   （浦发银行）</w:t>
      </w:r>
    </w:p>
    <w:p w:rsidR="00FA7396" w:rsidRDefault="00FA7396">
      <w:pPr>
        <w:snapToGrid w:val="0"/>
        <w:spacing w:line="44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</w:p>
    <w:p w:rsidR="000D7214" w:rsidRPr="008D3902" w:rsidRDefault="008D3902" w:rsidP="008D3902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8D3902">
        <w:rPr>
          <w:rFonts w:ascii="华文中宋" w:eastAsia="华文中宋" w:hAnsi="华文中宋" w:cs="仿宋_GB2312" w:hint="eastAsia"/>
          <w:b/>
          <w:sz w:val="28"/>
          <w:szCs w:val="28"/>
        </w:rPr>
        <w:t>上海银行携手台资银行服务两岸客户</w:t>
      </w:r>
    </w:p>
    <w:p w:rsidR="000D7214" w:rsidRDefault="000D7214">
      <w:pPr>
        <w:snapToGrid w:val="0"/>
        <w:spacing w:line="44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</w:p>
    <w:p w:rsidR="008D3902" w:rsidRDefault="008D3902" w:rsidP="008D3902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>
        <w:rPr>
          <w:rFonts w:ascii="仿宋_GB2312" w:eastAsia="仿宋_GB2312" w:hAnsi="MS Mincho" w:cs="MS Mincho" w:hint="eastAsia"/>
          <w:sz w:val="28"/>
          <w:szCs w:val="28"/>
        </w:rPr>
        <w:t>日前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，上海银行与</w:t>
      </w:r>
      <w:r w:rsidR="007D23E2">
        <w:rPr>
          <w:rFonts w:ascii="仿宋_GB2312" w:eastAsia="仿宋_GB2312" w:hAnsi="MS Mincho" w:cs="MS Mincho" w:hint="eastAsia"/>
          <w:sz w:val="28"/>
          <w:szCs w:val="28"/>
        </w:rPr>
        <w:t>台湾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富邦华一银行签署战略合作协议，</w:t>
      </w:r>
      <w:r w:rsidR="007D23E2">
        <w:rPr>
          <w:rFonts w:ascii="仿宋_GB2312" w:eastAsia="仿宋_GB2312" w:hAnsi="MS Mincho" w:cs="MS Mincho" w:hint="eastAsia"/>
          <w:sz w:val="28"/>
          <w:szCs w:val="28"/>
        </w:rPr>
        <w:t>双方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将利用区位差异与携手优势，积极为优质在沪台商企业以及两行共同客户，提供</w:t>
      </w:r>
      <w:r w:rsidR="007D23E2">
        <w:rPr>
          <w:rFonts w:ascii="仿宋_GB2312" w:eastAsia="仿宋_GB2312" w:hAnsi="MS Mincho" w:cs="MS Mincho" w:hint="eastAsia"/>
          <w:sz w:val="28"/>
          <w:szCs w:val="28"/>
        </w:rPr>
        <w:t>更完善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的综合金融服务</w:t>
      </w:r>
      <w:r w:rsidR="00BC2683">
        <w:rPr>
          <w:rFonts w:ascii="仿宋_GB2312" w:eastAsia="仿宋_GB2312" w:hAnsi="MS Mincho" w:cs="MS Mincho" w:hint="eastAsia"/>
          <w:sz w:val="28"/>
          <w:szCs w:val="28"/>
        </w:rPr>
        <w:t>；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同时，</w:t>
      </w:r>
      <w:r w:rsidR="007D23E2">
        <w:rPr>
          <w:rFonts w:ascii="仿宋_GB2312" w:eastAsia="仿宋_GB2312" w:hAnsi="MS Mincho" w:cs="MS Mincho" w:hint="eastAsia"/>
          <w:sz w:val="28"/>
          <w:szCs w:val="28"/>
        </w:rPr>
        <w:t>还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将在普惠金融和台商客户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lastRenderedPageBreak/>
        <w:t>服务方面，探索金融产品服务种类和内容创新，提高综合金融服务的广度和深度</w:t>
      </w:r>
      <w:r w:rsidR="00BC2683">
        <w:rPr>
          <w:rFonts w:ascii="仿宋_GB2312" w:eastAsia="仿宋_GB2312" w:hAnsi="MS Mincho" w:cs="MS Mincho" w:hint="eastAsia"/>
          <w:sz w:val="28"/>
          <w:szCs w:val="28"/>
        </w:rPr>
        <w:t>；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并在同业业务、金融市场、零售业务、渠道合作和人员培训等多方面，推动两岸金融服务业的交流融合。</w:t>
      </w:r>
    </w:p>
    <w:p w:rsidR="007D23E2" w:rsidRDefault="008D3902" w:rsidP="008D3902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8D3902">
        <w:rPr>
          <w:rFonts w:ascii="仿宋_GB2312" w:eastAsia="仿宋_GB2312" w:hAnsi="MS Mincho" w:cs="MS Mincho" w:hint="eastAsia"/>
          <w:sz w:val="28"/>
          <w:szCs w:val="28"/>
        </w:rPr>
        <w:t>富邦华一银行是台湾富邦金控</w:t>
      </w:r>
      <w:r>
        <w:rPr>
          <w:rFonts w:ascii="仿宋_GB2312" w:eastAsia="仿宋_GB2312" w:hAnsi="MS Mincho" w:cs="MS Mincho" w:hint="eastAsia"/>
          <w:sz w:val="28"/>
          <w:szCs w:val="28"/>
        </w:rPr>
        <w:t>在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大陆市场的重要金融服务平台，立足于“服务台商，服务大陆实体经济”，多年来为台资企业</w:t>
      </w:r>
      <w:r w:rsidR="007D23E2">
        <w:rPr>
          <w:rFonts w:ascii="仿宋_GB2312" w:eastAsia="仿宋_GB2312" w:hAnsi="MS Mincho" w:cs="MS Mincho" w:hint="eastAsia"/>
          <w:sz w:val="28"/>
          <w:szCs w:val="28"/>
        </w:rPr>
        <w:t>和</w:t>
      </w:r>
      <w:r w:rsidRPr="008D3902">
        <w:rPr>
          <w:rFonts w:ascii="仿宋_GB2312" w:eastAsia="仿宋_GB2312" w:hAnsi="MS Mincho" w:cs="MS Mincho" w:hint="eastAsia"/>
          <w:sz w:val="28"/>
          <w:szCs w:val="28"/>
        </w:rPr>
        <w:t>中小微企业提供优质金融服务和产品，积极助力中国大陆实体经济发展。</w:t>
      </w:r>
      <w:r w:rsidR="00857916">
        <w:rPr>
          <w:rFonts w:ascii="仿宋_GB2312" w:eastAsia="仿宋_GB2312" w:hAnsi="MS Mincho" w:cs="MS Mincho" w:hint="eastAsia"/>
          <w:sz w:val="28"/>
          <w:szCs w:val="28"/>
        </w:rPr>
        <w:t xml:space="preserve">   </w:t>
      </w:r>
    </w:p>
    <w:p w:rsidR="008D3902" w:rsidRPr="008D3902" w:rsidRDefault="00857916" w:rsidP="007D23E2">
      <w:pPr>
        <w:snapToGrid w:val="0"/>
        <w:spacing w:line="520" w:lineRule="exact"/>
        <w:ind w:firstLineChars="500" w:firstLine="1400"/>
        <w:rPr>
          <w:rFonts w:ascii="仿宋_GB2312" w:eastAsia="仿宋_GB2312" w:hAnsi="MS Mincho" w:cs="MS Mincho"/>
          <w:sz w:val="28"/>
          <w:szCs w:val="28"/>
        </w:rPr>
      </w:pPr>
      <w:r>
        <w:rPr>
          <w:rFonts w:ascii="仿宋_GB2312" w:eastAsia="仿宋_GB2312" w:hAnsi="MS Mincho" w:cs="MS Mincho" w:hint="eastAsia"/>
          <w:sz w:val="28"/>
          <w:szCs w:val="28"/>
        </w:rPr>
        <w:t xml:space="preserve">              </w:t>
      </w:r>
      <w:r w:rsidR="007D23E2">
        <w:rPr>
          <w:rFonts w:ascii="仿宋_GB2312" w:eastAsia="仿宋_GB2312" w:hAnsi="MS Mincho" w:cs="MS Mincho" w:hint="eastAsia"/>
          <w:sz w:val="28"/>
          <w:szCs w:val="28"/>
        </w:rPr>
        <w:t xml:space="preserve">                 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      （上海银行）</w:t>
      </w:r>
    </w:p>
    <w:p w:rsidR="009A7EC7" w:rsidRDefault="009A7EC7" w:rsidP="008D3902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</w:p>
    <w:p w:rsidR="00EE16A1" w:rsidRDefault="00EE16A1" w:rsidP="00EE16A1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2E78EA">
        <w:rPr>
          <w:rFonts w:ascii="华文中宋" w:eastAsia="华文中宋" w:hAnsi="华文中宋" w:cs="仿宋_GB2312" w:hint="eastAsia"/>
          <w:b/>
          <w:sz w:val="28"/>
          <w:szCs w:val="28"/>
        </w:rPr>
        <w:t>太保家园•杭州国际颐养社区开工奠基</w:t>
      </w:r>
    </w:p>
    <w:p w:rsidR="00EE16A1" w:rsidRPr="009A7EC7" w:rsidRDefault="00EE16A1" w:rsidP="00EE16A1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1D4D16" w:rsidRDefault="00EE16A1" w:rsidP="00EE16A1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>
        <w:rPr>
          <w:rFonts w:ascii="仿宋_GB2312" w:eastAsia="仿宋_GB2312" w:hAnsi="MS Mincho" w:cs="MS Mincho" w:hint="eastAsia"/>
          <w:sz w:val="28"/>
          <w:szCs w:val="28"/>
        </w:rPr>
        <w:t>近日</w:t>
      </w:r>
      <w:r w:rsidRPr="002E78EA">
        <w:rPr>
          <w:rFonts w:ascii="仿宋_GB2312" w:eastAsia="仿宋_GB2312" w:hAnsi="MS Mincho" w:cs="MS Mincho" w:hint="eastAsia"/>
          <w:sz w:val="28"/>
          <w:szCs w:val="28"/>
        </w:rPr>
        <w:t>，中国太保在长三角地区的首个落地项目——太保家园·杭州国际颐养社区项目开工建设。太保家园杭州国际颐养社区项目地处临安区，交通优越，医疗配套完善，</w:t>
      </w:r>
      <w:r>
        <w:rPr>
          <w:rFonts w:ascii="仿宋_GB2312" w:eastAsia="仿宋_GB2312" w:hAnsi="MS Mincho" w:cs="MS Mincho" w:hint="eastAsia"/>
          <w:sz w:val="28"/>
          <w:szCs w:val="28"/>
        </w:rPr>
        <w:t>紧邻</w:t>
      </w:r>
      <w:r w:rsidRPr="002E78EA">
        <w:rPr>
          <w:rFonts w:ascii="仿宋_GB2312" w:eastAsia="仿宋_GB2312" w:hAnsi="MS Mincho" w:cs="MS Mincho" w:hint="eastAsia"/>
          <w:sz w:val="28"/>
          <w:szCs w:val="28"/>
        </w:rPr>
        <w:t>临安文体会展中心。项目计划于2021年1月结构封顶，2022年对外开放。太保家园杭州国际颐养社区将力争打造成为体现吴越文化特色的“中国养老社区2.0”代表之作。项目建成后将由太保欧葆庭合资公司运营，可提供养老公寓1600套左右，为独立生活、介助生活、专业护理（含记忆照料）三类长者提供高品质服务。通过中法团队的密切协作，将欧洲人文主义传统、专业康养技术和中国本土实践相结合，使客户真切体会到“太保服务在你身边”。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                              （中国太保）</w:t>
      </w:r>
    </w:p>
    <w:p w:rsidR="000D7214" w:rsidRDefault="000D7214">
      <w:pPr>
        <w:snapToGrid w:val="0"/>
        <w:spacing w:line="44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</w:p>
    <w:p w:rsidR="00FA7396" w:rsidRDefault="00C56905" w:rsidP="002A536F">
      <w:pPr>
        <w:numPr>
          <w:ilvl w:val="0"/>
          <w:numId w:val="1"/>
        </w:numPr>
        <w:spacing w:afterLines="50" w:line="480" w:lineRule="exact"/>
        <w:ind w:rightChars="-42" w:right="-88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经济工作</w:t>
      </w:r>
    </w:p>
    <w:p w:rsidR="00514BAF" w:rsidRDefault="00514BAF" w:rsidP="00514BAF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>
        <w:rPr>
          <w:rFonts w:ascii="华文中宋" w:eastAsia="华文中宋" w:hAnsi="华文中宋" w:cs="仿宋_GB2312" w:hint="eastAsia"/>
          <w:b/>
          <w:sz w:val="28"/>
          <w:szCs w:val="28"/>
        </w:rPr>
        <w:t>上汽发布三季报 分析师定调“增持”</w:t>
      </w:r>
    </w:p>
    <w:p w:rsidR="00514BAF" w:rsidRDefault="00514BAF" w:rsidP="00514BAF">
      <w:pPr>
        <w:snapToGrid w:val="0"/>
        <w:spacing w:line="42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514BAF" w:rsidRDefault="00514BAF" w:rsidP="00514BAF">
      <w:pPr>
        <w:snapToGrid w:val="0"/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日前，上汽集团发布三季报，集团整车销量441.39万辆，营业总收入约为5853.45亿元，现归属于上市公司股东的净利润为207.93亿元，销量稳居国内第一。</w:t>
      </w:r>
    </w:p>
    <w:p w:rsidR="00514BAF" w:rsidRDefault="00514BAF" w:rsidP="00514BAF">
      <w:pPr>
        <w:snapToGrid w:val="0"/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数据显示，今年1-9月，上汽海外整体销量达24万辆，同比增</w:t>
      </w:r>
      <w:r>
        <w:rPr>
          <w:rFonts w:ascii="仿宋_GB2312" w:eastAsia="仿宋_GB2312" w:hint="eastAsia"/>
          <w:sz w:val="28"/>
          <w:szCs w:val="28"/>
        </w:rPr>
        <w:lastRenderedPageBreak/>
        <w:t>长15.5%。今年7月，名爵汽车印度有限公司开始销售汽车，三个月累计销售7251辆；上汽大通旗下的D90，今年前三季度的海外累计销量同比增长107.4%。</w:t>
      </w:r>
    </w:p>
    <w:p w:rsidR="00514BAF" w:rsidRDefault="00514BAF" w:rsidP="00514BAF">
      <w:pPr>
        <w:snapToGrid w:val="0"/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今年9月，上汽发行30亿元公司债券，票面利率3.42%，为近期AAA级别地方国企3年期公司债和汽车行业3年期公司债发行利率市场最低，较金融机构人民币贷款同期基准利率下浮28%。本次发行投标认购未附带任何条件，完全市场化竞标，券商、基金、保险、银行等机构投资者踊跃参与。其中，券商和基金的认购比例达到56.67%。                                   </w:t>
      </w:r>
    </w:p>
    <w:p w:rsidR="0007425C" w:rsidRPr="00EF6EE8" w:rsidRDefault="00514BAF" w:rsidP="00514BAF">
      <w:pPr>
        <w:snapToGrid w:val="0"/>
        <w:spacing w:line="420" w:lineRule="exact"/>
        <w:ind w:firstLineChars="2400" w:firstLine="6720"/>
        <w:jc w:val="left"/>
        <w:rPr>
          <w:rFonts w:ascii="仿宋_GB2312" w:eastAsia="仿宋_GB2312" w:hAnsi="MS Mincho" w:cs="MS Mincho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（上汽集团）</w:t>
      </w:r>
    </w:p>
    <w:p w:rsidR="0007425C" w:rsidRDefault="0007425C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07425C" w:rsidRDefault="00EA55C7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EA55C7">
        <w:rPr>
          <w:rFonts w:ascii="华文中宋" w:eastAsia="华文中宋" w:hAnsi="华文中宋" w:cs="仿宋_GB2312" w:hint="eastAsia"/>
          <w:b/>
          <w:sz w:val="28"/>
          <w:szCs w:val="28"/>
        </w:rPr>
        <w:t>隧道股份承建的北横通道西线隧道全线贯通</w:t>
      </w:r>
    </w:p>
    <w:p w:rsidR="0007425C" w:rsidRDefault="0007425C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EA55C7" w:rsidRPr="00EF6EE8" w:rsidRDefault="00E943ED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日前</w:t>
      </w:r>
      <w:r w:rsidR="00EA55C7" w:rsidRPr="00EF6EE8">
        <w:rPr>
          <w:rFonts w:ascii="仿宋_GB2312" w:eastAsia="仿宋_GB2312" w:hAnsi="MS Mincho" w:cs="MS Mincho" w:hint="eastAsia"/>
          <w:sz w:val="28"/>
          <w:szCs w:val="28"/>
        </w:rPr>
        <w:t>，西起泸定路出入口、东至天目西路长安路，全长7.8公里的上海北横通道西段隧道全线贯通。这一工程的贯通将实现从中环北虹立交至内江路长达19.1公里的连续流交通，有效缓解延安高架和内环北段交通压力，有利于均衡路网交通，提高骨干路网可靠性。</w:t>
      </w:r>
    </w:p>
    <w:p w:rsidR="00EA55C7" w:rsidRPr="00EF6EE8" w:rsidRDefault="00EA55C7" w:rsidP="00352C19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北横通道西段隧道工程包含了6.4公里的盾构隧道段。主体盾构“纵横号”直径15.56米，为上海历史上尺寸最大。超大直径盾构在控制方面本就难于常规盾构，施工期间更经历了连续急曲线转弯、大规模穿越房屋建筑、多次近距离下穿运营中轨道交通线路等考验,在完成了“中国首次、全球罕有”的500米半径S型急转弯后，迎来了北横通道西线隧道全线贯通。</w:t>
      </w:r>
      <w:r w:rsidR="00601ADD" w:rsidRPr="00EF6EE8">
        <w:rPr>
          <w:rFonts w:ascii="仿宋_GB2312" w:eastAsia="仿宋_GB2312" w:hAnsi="MS Mincho" w:cs="MS Mincho" w:hint="eastAsia"/>
          <w:sz w:val="28"/>
          <w:szCs w:val="28"/>
        </w:rPr>
        <w:t xml:space="preserve">                      （隧道股份）</w:t>
      </w:r>
    </w:p>
    <w:p w:rsidR="0007425C" w:rsidRDefault="0007425C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2725F5" w:rsidRDefault="002725F5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2725F5">
        <w:rPr>
          <w:rFonts w:ascii="华文中宋" w:eastAsia="华文中宋" w:hAnsi="华文中宋" w:cs="仿宋_GB2312" w:hint="eastAsia"/>
          <w:b/>
          <w:sz w:val="28"/>
          <w:szCs w:val="28"/>
        </w:rPr>
        <w:t>首届“一带一路”艺术上海国际博览会亮相申城</w:t>
      </w:r>
    </w:p>
    <w:p w:rsidR="0007425C" w:rsidRDefault="002725F5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2725F5">
        <w:rPr>
          <w:rFonts w:ascii="华文中宋" w:eastAsia="华文中宋" w:hAnsi="华文中宋" w:cs="仿宋_GB2312" w:hint="eastAsia"/>
          <w:b/>
          <w:sz w:val="28"/>
          <w:szCs w:val="28"/>
        </w:rPr>
        <w:t>东浩兰生呈现艺术之夜</w:t>
      </w:r>
    </w:p>
    <w:p w:rsidR="0007425C" w:rsidRDefault="0007425C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2725F5" w:rsidRPr="00EF6EE8" w:rsidRDefault="002725F5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日前，由东浩兰生集团举办的首届“一带一路”艺术上海国际博览会成功举办</w:t>
      </w:r>
      <w:r w:rsidR="00FB6E59" w:rsidRPr="00EF6EE8">
        <w:rPr>
          <w:rFonts w:ascii="仿宋_GB2312" w:eastAsia="仿宋_GB2312" w:hAnsi="MS Mincho" w:cs="MS Mincho" w:hint="eastAsia"/>
          <w:sz w:val="28"/>
          <w:szCs w:val="28"/>
        </w:rPr>
        <w:t>。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>据统计，展览</w:t>
      </w:r>
      <w:r w:rsidR="00E141A9" w:rsidRPr="00EF6EE8">
        <w:rPr>
          <w:rFonts w:ascii="仿宋_GB2312" w:eastAsia="仿宋_GB2312" w:hAnsi="MS Mincho" w:cs="MS Mincho" w:hint="eastAsia"/>
          <w:sz w:val="28"/>
          <w:szCs w:val="28"/>
        </w:rPr>
        <w:t>期间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>共接待观众两万五千人次，仅预展之夜到场的VIP专业买家已超过3500人。</w:t>
      </w:r>
    </w:p>
    <w:p w:rsidR="00E141A9" w:rsidRPr="00EF6EE8" w:rsidRDefault="00031F4C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lastRenderedPageBreak/>
        <w:t>本届展会</w:t>
      </w:r>
      <w:r w:rsidR="00E141A9" w:rsidRPr="00EF6EE8">
        <w:rPr>
          <w:rFonts w:ascii="仿宋_GB2312" w:eastAsia="仿宋_GB2312" w:hAnsi="MS Mincho" w:cs="MS Mincho" w:hint="eastAsia"/>
          <w:sz w:val="28"/>
          <w:szCs w:val="28"/>
        </w:rPr>
        <w:t>采取“5+365”模式线上线下联动，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>共有41个国家、100多家画廊及机构携其精品画作参展。内容</w:t>
      </w:r>
      <w:r w:rsidR="002725F5" w:rsidRPr="00EF6EE8">
        <w:rPr>
          <w:rFonts w:ascii="仿宋_GB2312" w:eastAsia="仿宋_GB2312" w:hAnsi="MS Mincho" w:cs="MS Mincho" w:hint="eastAsia"/>
          <w:sz w:val="28"/>
          <w:szCs w:val="28"/>
        </w:rPr>
        <w:t>分为“经典”“当代”和“未来”三个板块，展会有“无远弗届——中国当代工笔画名家展”、一带一路沿线20多个国家的“伟大文明版画展”、江南文化世博、水乡主题展、当代铜艺术主题展，以及海内外优秀画廊等多个艺术展品。</w:t>
      </w:r>
    </w:p>
    <w:p w:rsidR="002725F5" w:rsidRPr="00EF6EE8" w:rsidRDefault="002725F5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随着艺术上海品牌的不断提升，更好的服务与民众活动内容的持续增加</w:t>
      </w:r>
      <w:r w:rsidR="009A25F5">
        <w:rPr>
          <w:rFonts w:ascii="仿宋_GB2312" w:eastAsia="仿宋_GB2312" w:hAnsi="MS Mincho" w:cs="MS Mincho" w:hint="eastAsia"/>
          <w:sz w:val="28"/>
          <w:szCs w:val="28"/>
        </w:rPr>
        <w:t>和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>影响力的日益增强，“艺术上海”国际博览会将继续扩大规模，吸引更多的展商，共同携手促进艺术品市场的繁荣。</w:t>
      </w:r>
      <w:r w:rsidR="00E141A9" w:rsidRPr="00EF6EE8">
        <w:rPr>
          <w:rFonts w:ascii="仿宋_GB2312" w:eastAsia="仿宋_GB2312" w:hAnsi="MS Mincho" w:cs="MS Mincho" w:hint="eastAsia"/>
          <w:sz w:val="28"/>
          <w:szCs w:val="28"/>
        </w:rPr>
        <w:t>（东浩兰生）</w:t>
      </w:r>
    </w:p>
    <w:p w:rsidR="0007425C" w:rsidRPr="00EF6EE8" w:rsidRDefault="0007425C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</w:p>
    <w:p w:rsidR="0007425C" w:rsidRDefault="001A69A5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1A69A5">
        <w:rPr>
          <w:rFonts w:ascii="华文中宋" w:eastAsia="华文中宋" w:hAnsi="华文中宋" w:cs="仿宋_GB2312" w:hint="eastAsia"/>
          <w:b/>
          <w:sz w:val="28"/>
          <w:szCs w:val="28"/>
        </w:rPr>
        <w:t>上海着力金融科技中心建设  首个金融科技产业联盟成立</w:t>
      </w:r>
    </w:p>
    <w:p w:rsidR="001A69A5" w:rsidRDefault="001A69A5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6072FB" w:rsidRPr="00EF6EE8" w:rsidRDefault="001A69A5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日前</w:t>
      </w:r>
      <w:r w:rsidRPr="00EF6EE8">
        <w:rPr>
          <w:rFonts w:ascii="仿宋_GB2312" w:eastAsia="仿宋_GB2312" w:hAnsi="MS Mincho" w:cs="MS Mincho"/>
          <w:sz w:val="28"/>
          <w:szCs w:val="28"/>
        </w:rPr>
        <w:t>，在中英金融科技高峰论坛上，</w:t>
      </w:r>
      <w:r w:rsidR="006072FB" w:rsidRPr="00EF6EE8">
        <w:rPr>
          <w:rFonts w:ascii="仿宋_GB2312" w:eastAsia="仿宋_GB2312" w:hAnsi="MS Mincho" w:cs="MS Mincho"/>
          <w:sz w:val="28"/>
          <w:szCs w:val="28"/>
        </w:rPr>
        <w:t>上海第一个金融科技产业联盟</w:t>
      </w:r>
      <w:r w:rsidR="006072FB" w:rsidRPr="00EF6EE8">
        <w:rPr>
          <w:rFonts w:ascii="仿宋_GB2312" w:eastAsia="仿宋_GB2312" w:hAnsi="MS Mincho" w:cs="MS Mincho"/>
          <w:sz w:val="28"/>
          <w:szCs w:val="28"/>
        </w:rPr>
        <w:t>——</w:t>
      </w:r>
      <w:r w:rsidR="006072FB" w:rsidRPr="00EF6EE8">
        <w:rPr>
          <w:rFonts w:ascii="仿宋_GB2312" w:eastAsia="仿宋_GB2312" w:hAnsi="MS Mincho" w:cs="MS Mincho"/>
          <w:sz w:val="28"/>
          <w:szCs w:val="28"/>
        </w:rPr>
        <w:t>上海金融科技产业联盟宣布成立。</w:t>
      </w:r>
      <w:r w:rsidRPr="00EF6EE8">
        <w:rPr>
          <w:rFonts w:ascii="仿宋_GB2312" w:eastAsia="仿宋_GB2312" w:hAnsi="MS Mincho" w:cs="MS Mincho"/>
          <w:sz w:val="28"/>
          <w:szCs w:val="28"/>
        </w:rPr>
        <w:t>该联盟由上海国际集团倡议发起，</w:t>
      </w:r>
      <w:r w:rsidR="006072FB" w:rsidRPr="00EF6EE8">
        <w:rPr>
          <w:rFonts w:ascii="仿宋_GB2312" w:eastAsia="仿宋_GB2312" w:hAnsi="MS Mincho" w:cs="MS Mincho"/>
          <w:sz w:val="28"/>
          <w:szCs w:val="28"/>
        </w:rPr>
        <w:t>致力于推动金融科技领域的行业整合，探索金融科技业务合作框架，建立金融科技产业生态的对接机制。同时，搭建金融科技的行业合作和国际交流平台，促进联盟成员间的互联互通，加强对话和项目对接，实现资源共享、优势互补。另外，作为上海金融科技产业联盟的物理载体，上海城创金融科技国际产业园也在会上正式揭牌，该园区是上海首个以金融科技为主导的国际产业园，将聚焦金融科技，营造产学研投一体的生态办公环境，提供多维度的配套服务，构建全周期智慧运营服务管理平台。</w:t>
      </w:r>
      <w:r w:rsidR="006072FB" w:rsidRPr="00EF6EE8">
        <w:rPr>
          <w:rFonts w:ascii="仿宋_GB2312" w:eastAsia="仿宋_GB2312" w:hAnsi="MS Mincho" w:cs="MS Mincho" w:hint="eastAsia"/>
          <w:sz w:val="28"/>
          <w:szCs w:val="28"/>
        </w:rPr>
        <w:t xml:space="preserve">              </w:t>
      </w:r>
      <w:r w:rsidR="00352C19">
        <w:rPr>
          <w:rFonts w:ascii="仿宋_GB2312" w:eastAsia="仿宋_GB2312" w:hAnsi="MS Mincho" w:cs="MS Mincho" w:hint="eastAsia"/>
          <w:sz w:val="28"/>
          <w:szCs w:val="28"/>
        </w:rPr>
        <w:t xml:space="preserve"> </w:t>
      </w:r>
      <w:r w:rsidR="006072FB" w:rsidRPr="00EF6EE8">
        <w:rPr>
          <w:rFonts w:ascii="仿宋_GB2312" w:eastAsia="仿宋_GB2312" w:hAnsi="MS Mincho" w:cs="MS Mincho" w:hint="eastAsia"/>
          <w:sz w:val="28"/>
          <w:szCs w:val="28"/>
        </w:rPr>
        <w:t xml:space="preserve">     （上海国际集团）</w:t>
      </w:r>
    </w:p>
    <w:p w:rsidR="006072FB" w:rsidRDefault="006072FB" w:rsidP="006072FB">
      <w:pPr>
        <w:snapToGrid w:val="0"/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153DFB" w:rsidRDefault="00153DFB" w:rsidP="00153DFB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153DFB">
        <w:rPr>
          <w:rFonts w:ascii="华文中宋" w:eastAsia="华文中宋" w:hAnsi="华文中宋" w:cs="仿宋_GB2312" w:hint="eastAsia"/>
          <w:b/>
          <w:sz w:val="28"/>
          <w:szCs w:val="28"/>
        </w:rPr>
        <w:t>崇明花博会花博园项目获国际可持续景观场地金级预认证</w:t>
      </w:r>
    </w:p>
    <w:p w:rsidR="00153DFB" w:rsidRPr="00153DFB" w:rsidRDefault="00153DFB" w:rsidP="00153DFB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153DFB" w:rsidRDefault="0021625B" w:rsidP="00153DFB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>
        <w:rPr>
          <w:rFonts w:ascii="仿宋_GB2312" w:eastAsia="仿宋_GB2312" w:hAnsi="MS Mincho" w:cs="MS Mincho" w:hint="eastAsia"/>
          <w:sz w:val="28"/>
          <w:szCs w:val="28"/>
        </w:rPr>
        <w:t>日前，在</w:t>
      </w:r>
      <w:r w:rsidR="00153DFB" w:rsidRPr="00153DFB">
        <w:rPr>
          <w:rFonts w:ascii="仿宋_GB2312" w:eastAsia="仿宋_GB2312" w:hAnsi="MS Mincho" w:cs="MS Mincho"/>
          <w:sz w:val="28"/>
          <w:szCs w:val="28"/>
        </w:rPr>
        <w:t>第三届Greenbuild China峰会上，地产集团世发公司参与的第十届中国花卉博览会花博园项目，获颁国际绿色可持续景观场地（SITES）金级预认证证书，这是目前全球最大面积的SITES认</w:t>
      </w:r>
      <w:r w:rsidR="00153DFB" w:rsidRPr="00153DFB">
        <w:rPr>
          <w:rFonts w:ascii="仿宋_GB2312" w:eastAsia="仿宋_GB2312" w:hAnsi="MS Mincho" w:cs="MS Mincho"/>
          <w:sz w:val="28"/>
          <w:szCs w:val="28"/>
        </w:rPr>
        <w:lastRenderedPageBreak/>
        <w:t>证项目，堪称国内外景观场地建设的标杆和示范。</w:t>
      </w:r>
    </w:p>
    <w:p w:rsidR="00153DFB" w:rsidRPr="00153DFB" w:rsidRDefault="0021625B" w:rsidP="0021625B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21625B">
        <w:rPr>
          <w:rFonts w:ascii="仿宋_GB2312" w:eastAsia="仿宋_GB2312" w:hAnsi="MS Mincho" w:cs="MS Mincho"/>
          <w:sz w:val="28"/>
          <w:szCs w:val="28"/>
        </w:rPr>
        <w:t>SITES认证包括18 个先决条件和48个得分项，总分200分，认证等级是认证级(70)、银级(85)、金级(100)和铂金级(135)。亚洲区域内已有2022东京奥运会运动员村金级预认证，香港星光大道金级认证，徐汇滨江跑道公园金级认证。此次，第十届中国花博会-花博园以119分，获得金级预认证。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                 （</w:t>
      </w:r>
      <w:r w:rsidR="009566BE">
        <w:rPr>
          <w:rFonts w:ascii="仿宋_GB2312" w:eastAsia="仿宋_GB2312" w:hAnsi="MS Mincho" w:cs="MS Mincho" w:hint="eastAsia"/>
          <w:sz w:val="28"/>
          <w:szCs w:val="28"/>
        </w:rPr>
        <w:t>上海</w:t>
      </w:r>
      <w:r>
        <w:rPr>
          <w:rFonts w:ascii="仿宋_GB2312" w:eastAsia="仿宋_GB2312" w:hAnsi="MS Mincho" w:cs="MS Mincho" w:hint="eastAsia"/>
          <w:sz w:val="28"/>
          <w:szCs w:val="28"/>
        </w:rPr>
        <w:t>地产集团）</w:t>
      </w:r>
    </w:p>
    <w:p w:rsidR="00153DFB" w:rsidRDefault="00153DFB" w:rsidP="006072FB">
      <w:pPr>
        <w:snapToGrid w:val="0"/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B751F" w:rsidRDefault="0021625B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1132B9">
        <w:rPr>
          <w:rFonts w:ascii="华文中宋" w:eastAsia="华文中宋" w:hAnsi="华文中宋" w:cs="仿宋_GB2312" w:hint="eastAsia"/>
          <w:b/>
          <w:sz w:val="28"/>
          <w:szCs w:val="28"/>
        </w:rPr>
        <w:t xml:space="preserve"> </w:t>
      </w:r>
      <w:r w:rsidR="001132B9" w:rsidRPr="001132B9">
        <w:rPr>
          <w:rFonts w:ascii="华文中宋" w:eastAsia="华文中宋" w:hAnsi="华文中宋" w:cs="仿宋_GB2312" w:hint="eastAsia"/>
          <w:b/>
          <w:sz w:val="28"/>
          <w:szCs w:val="28"/>
        </w:rPr>
        <w:t>“保进博”工程之一</w:t>
      </w:r>
      <w:r w:rsidR="001132B9">
        <w:rPr>
          <w:rFonts w:ascii="华文中宋" w:eastAsia="华文中宋" w:hAnsi="华文中宋" w:cs="仿宋_GB2312" w:hint="eastAsia"/>
          <w:b/>
          <w:sz w:val="28"/>
          <w:szCs w:val="28"/>
        </w:rPr>
        <w:t>：</w:t>
      </w:r>
      <w:r w:rsidR="002800E1" w:rsidRPr="002800E1">
        <w:rPr>
          <w:rFonts w:ascii="华文中宋" w:eastAsia="华文中宋" w:hAnsi="华文中宋" w:cs="仿宋_GB2312" w:hint="eastAsia"/>
          <w:b/>
          <w:sz w:val="28"/>
          <w:szCs w:val="28"/>
        </w:rPr>
        <w:t>崧泽大道跨线桥人非设施工程建成通车</w:t>
      </w:r>
    </w:p>
    <w:p w:rsidR="00AB751F" w:rsidRDefault="00AB751F" w:rsidP="003956EC">
      <w:pPr>
        <w:snapToGrid w:val="0"/>
        <w:spacing w:line="440" w:lineRule="exact"/>
        <w:jc w:val="center"/>
        <w:rPr>
          <w:rFonts w:ascii="华文中宋" w:eastAsia="华文中宋" w:hAnsi="华文中宋" w:cs="仿宋_GB2312"/>
          <w:b/>
          <w:sz w:val="28"/>
          <w:szCs w:val="28"/>
        </w:rPr>
      </w:pPr>
    </w:p>
    <w:p w:rsidR="00AA6893" w:rsidRPr="00EF6EE8" w:rsidRDefault="00AA6893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近日，由上海城投公路投资（集团）有限公司</w:t>
      </w:r>
      <w:r w:rsidR="002F182B">
        <w:rPr>
          <w:rFonts w:ascii="仿宋_GB2312" w:eastAsia="仿宋_GB2312" w:hAnsi="MS Mincho" w:cs="MS Mincho" w:hint="eastAsia"/>
          <w:sz w:val="28"/>
          <w:szCs w:val="28"/>
        </w:rPr>
        <w:t>投资建设的崧泽大道跨线桥人非设施工程正式开放通行，标志着又一项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>惠及民生的进博配套设施投入使用。</w:t>
      </w:r>
      <w:r w:rsidR="002F182B">
        <w:rPr>
          <w:rFonts w:ascii="仿宋_GB2312" w:eastAsia="仿宋_GB2312" w:hAnsi="MS Mincho" w:cs="MS Mincho" w:hint="eastAsia"/>
          <w:sz w:val="28"/>
          <w:szCs w:val="28"/>
        </w:rPr>
        <w:t>这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>是城投公路集团今年三项“保进博”工程之一。</w:t>
      </w:r>
    </w:p>
    <w:p w:rsidR="001773B1" w:rsidRDefault="00AA6893" w:rsidP="00EF6EE8">
      <w:pPr>
        <w:snapToGrid w:val="0"/>
        <w:spacing w:line="52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  <w:r w:rsidRPr="00EF6EE8">
        <w:rPr>
          <w:rFonts w:ascii="仿宋_GB2312" w:eastAsia="仿宋_GB2312" w:hAnsi="MS Mincho" w:cs="MS Mincho" w:hint="eastAsia"/>
          <w:sz w:val="28"/>
          <w:szCs w:val="28"/>
        </w:rPr>
        <w:t>崧泽大道跨线桥人非设施工程西起崧泽大道涞港路，东至崧泽大道华翔路，连接闵行与青浦两区，下穿沪昆铁路，横跨小涞港河道，道路分南、北两线，长度分别约为604米与589米，包括人行道及非机动车道两部分。人非设施工程于</w:t>
      </w:r>
      <w:r w:rsidR="001773B1">
        <w:rPr>
          <w:rFonts w:ascii="仿宋_GB2312" w:eastAsia="仿宋_GB2312" w:hAnsi="MS Mincho" w:cs="MS Mincho" w:hint="eastAsia"/>
          <w:sz w:val="28"/>
          <w:szCs w:val="28"/>
        </w:rPr>
        <w:t>今年初</w:t>
      </w:r>
      <w:r w:rsidRPr="00EF6EE8">
        <w:rPr>
          <w:rFonts w:ascii="仿宋_GB2312" w:eastAsia="仿宋_GB2312" w:hAnsi="MS Mincho" w:cs="MS Mincho" w:hint="eastAsia"/>
          <w:sz w:val="28"/>
          <w:szCs w:val="28"/>
        </w:rPr>
        <w:t xml:space="preserve">开工建设，是连通国家会展中心与虹桥商务区的重要人非通道，投入使用后，将大大改善区域慢行交通出行条件，提高路网通行效率，促进区域经济社会协调发展。  </w:t>
      </w:r>
    </w:p>
    <w:p w:rsidR="00AA6893" w:rsidRPr="00EF6EE8" w:rsidRDefault="004E6EC0" w:rsidP="001773B1">
      <w:pPr>
        <w:snapToGrid w:val="0"/>
        <w:spacing w:line="520" w:lineRule="exact"/>
        <w:ind w:firstLineChars="900" w:firstLine="2520"/>
        <w:rPr>
          <w:rFonts w:ascii="仿宋_GB2312" w:eastAsia="仿宋_GB2312" w:hAnsi="MS Mincho" w:cs="MS Mincho"/>
          <w:sz w:val="28"/>
          <w:szCs w:val="28"/>
        </w:rPr>
      </w:pPr>
      <w:r>
        <w:rPr>
          <w:rFonts w:ascii="仿宋_GB2312" w:eastAsia="仿宋_GB2312" w:hAnsi="MS Mincho" w:cs="MS Mincho" w:hint="eastAsia"/>
          <w:sz w:val="28"/>
          <w:szCs w:val="28"/>
        </w:rPr>
        <w:t xml:space="preserve">                          </w:t>
      </w:r>
      <w:r w:rsidR="00AA6893" w:rsidRPr="00EF6EE8">
        <w:rPr>
          <w:rFonts w:ascii="仿宋_GB2312" w:eastAsia="仿宋_GB2312" w:hAnsi="MS Mincho" w:cs="MS Mincho" w:hint="eastAsia"/>
          <w:sz w:val="28"/>
          <w:szCs w:val="28"/>
        </w:rPr>
        <w:t>（上海城投</w:t>
      </w:r>
      <w:r>
        <w:rPr>
          <w:rFonts w:ascii="仿宋_GB2312" w:eastAsia="仿宋_GB2312" w:hAnsi="MS Mincho" w:cs="MS Mincho" w:hint="eastAsia"/>
          <w:sz w:val="28"/>
          <w:szCs w:val="28"/>
        </w:rPr>
        <w:t>集团</w:t>
      </w:r>
      <w:r w:rsidR="00AA6893" w:rsidRPr="00EF6EE8">
        <w:rPr>
          <w:rFonts w:ascii="仿宋_GB2312" w:eastAsia="仿宋_GB2312" w:hAnsi="MS Mincho" w:cs="MS Mincho" w:hint="eastAsia"/>
          <w:sz w:val="28"/>
          <w:szCs w:val="28"/>
        </w:rPr>
        <w:t>）</w:t>
      </w:r>
    </w:p>
    <w:p w:rsidR="00CF0723" w:rsidRPr="00537671" w:rsidRDefault="00CF0723" w:rsidP="00537671">
      <w:pPr>
        <w:snapToGrid w:val="0"/>
        <w:spacing w:line="440" w:lineRule="exact"/>
        <w:ind w:firstLineChars="200" w:firstLine="560"/>
        <w:rPr>
          <w:rFonts w:ascii="仿宋_GB2312" w:eastAsia="仿宋_GB2312" w:hAnsi="MS Mincho" w:cs="MS Mincho"/>
          <w:sz w:val="28"/>
          <w:szCs w:val="28"/>
        </w:rPr>
      </w:pPr>
    </w:p>
    <w:p w:rsidR="00FA7396" w:rsidRDefault="00C56905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t>简讯</w:t>
      </w:r>
    </w:p>
    <w:p w:rsidR="004704C7" w:rsidRPr="004704C7" w:rsidRDefault="004704C7" w:rsidP="00F803C2">
      <w:pPr>
        <w:snapToGrid w:val="0"/>
        <w:spacing w:line="440" w:lineRule="exact"/>
        <w:rPr>
          <w:rFonts w:ascii="仿宋_GB2312" w:eastAsia="仿宋_GB2312" w:hAnsi="MS Mincho" w:cs="MS Mincho"/>
          <w:sz w:val="28"/>
          <w:szCs w:val="28"/>
        </w:rPr>
      </w:pPr>
      <w:r w:rsidRPr="00F803C2">
        <w:rPr>
          <w:rFonts w:ascii="仿宋_GB2312" w:eastAsia="仿宋_GB2312" w:hAnsi="宋体" w:hint="eastAsia"/>
          <w:sz w:val="28"/>
          <w:szCs w:val="28"/>
        </w:rPr>
        <w:t>▲</w:t>
      </w:r>
      <w:r w:rsidRPr="004704C7">
        <w:rPr>
          <w:rFonts w:ascii="仿宋_GB2312" w:eastAsia="仿宋_GB2312" w:hAnsi="MS Mincho" w:cs="MS Mincho" w:hint="eastAsia"/>
          <w:sz w:val="28"/>
          <w:szCs w:val="28"/>
        </w:rPr>
        <w:t>日前，华域汽车三季报出炉。前三季度，华域汽车营业收入为1056亿元，盈利能力保持稳定，主营获利能力明显提升，主营业务利润率同比上升0.7个百分点至14.5%。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                  （上汽集团）</w:t>
      </w:r>
    </w:p>
    <w:p w:rsidR="004704C7" w:rsidRDefault="004704C7" w:rsidP="00F803C2">
      <w:pPr>
        <w:snapToGrid w:val="0"/>
        <w:spacing w:line="440" w:lineRule="exact"/>
        <w:rPr>
          <w:rFonts w:ascii="仿宋_GB2312" w:eastAsia="仿宋_GB2312" w:hAnsi="宋体"/>
          <w:sz w:val="28"/>
          <w:szCs w:val="28"/>
        </w:rPr>
      </w:pPr>
      <w:r w:rsidRPr="00F803C2">
        <w:rPr>
          <w:rFonts w:ascii="仿宋_GB2312" w:eastAsia="仿宋_GB2312" w:hAnsi="宋体" w:hint="eastAsia"/>
          <w:sz w:val="28"/>
          <w:szCs w:val="28"/>
        </w:rPr>
        <w:t>▲</w:t>
      </w:r>
      <w:r w:rsidRPr="008A6194">
        <w:rPr>
          <w:rFonts w:ascii="仿宋_GB2312" w:eastAsia="仿宋_GB2312" w:hAnsi="MS Mincho" w:cs="MS Mincho"/>
          <w:sz w:val="28"/>
          <w:szCs w:val="28"/>
        </w:rPr>
        <w:t>日前，隧道股份上海市城市建设设计研究总院（集团）有限公司中标杭州市城北净水厂工程设计项目。该项目地处杭州市拱墅区，是地埋式一体化新型污水处理厂。近期规模10万m3/d，总规模20万m3/d，全厂按照地表水准</w:t>
      </w:r>
      <w:r w:rsidRPr="008A6194">
        <w:rPr>
          <w:rFonts w:ascii="仿宋_GB2312" w:eastAsia="仿宋_GB2312" w:hAnsi="MS Mincho" w:cs="MS Mincho" w:hint="eastAsia"/>
          <w:sz w:val="28"/>
          <w:szCs w:val="28"/>
        </w:rPr>
        <w:t>Ⅲ</w:t>
      </w:r>
      <w:r w:rsidRPr="008A6194">
        <w:rPr>
          <w:rFonts w:ascii="仿宋_GB2312" w:eastAsia="仿宋_GB2312" w:hAnsi="MS Mincho" w:cs="MS Mincho"/>
          <w:sz w:val="28"/>
          <w:szCs w:val="28"/>
        </w:rPr>
        <w:t>类的高标准出水要求进行设计。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  （隧道股份）</w:t>
      </w:r>
    </w:p>
    <w:p w:rsidR="00F803C2" w:rsidRDefault="00F803C2" w:rsidP="00F803C2">
      <w:pPr>
        <w:snapToGrid w:val="0"/>
        <w:spacing w:line="440" w:lineRule="exact"/>
        <w:rPr>
          <w:rFonts w:ascii="仿宋_GB2312" w:eastAsia="仿宋_GB2312" w:hAnsi="MS Mincho" w:cs="MS Mincho"/>
          <w:sz w:val="28"/>
          <w:szCs w:val="28"/>
        </w:rPr>
      </w:pPr>
      <w:r w:rsidRPr="00F803C2">
        <w:rPr>
          <w:rFonts w:ascii="仿宋_GB2312" w:eastAsia="仿宋_GB2312" w:hAnsi="宋体" w:hint="eastAsia"/>
          <w:sz w:val="28"/>
          <w:szCs w:val="28"/>
        </w:rPr>
        <w:lastRenderedPageBreak/>
        <w:t>▲</w:t>
      </w:r>
      <w:r w:rsidR="00825221" w:rsidRPr="00825221">
        <w:rPr>
          <w:rFonts w:ascii="仿宋_GB2312" w:eastAsia="仿宋_GB2312" w:hAnsi="MS Mincho" w:cs="MS Mincho" w:hint="eastAsia"/>
          <w:sz w:val="28"/>
          <w:szCs w:val="28"/>
        </w:rPr>
        <w:t>近日，锦江国际集团与中国工商银行在上海签署互联网业务战略合作协议，双方将在工行融</w:t>
      </w:r>
      <w:r w:rsidR="00825221" w:rsidRPr="00825221">
        <w:rPr>
          <w:rFonts w:ascii="仿宋_GB2312" w:eastAsia="仿宋_GB2312" w:hAnsi="MS Mincho" w:cs="MS Mincho"/>
          <w:sz w:val="28"/>
          <w:szCs w:val="28"/>
        </w:rPr>
        <w:t>e</w:t>
      </w:r>
      <w:r w:rsidR="00825221" w:rsidRPr="00825221">
        <w:rPr>
          <w:rFonts w:ascii="仿宋_GB2312" w:eastAsia="仿宋_GB2312" w:hAnsi="MS Mincho" w:cs="MS Mincho" w:hint="eastAsia"/>
          <w:sz w:val="28"/>
          <w:szCs w:val="28"/>
        </w:rPr>
        <w:t>购电商平台预订锦江系品牌酒店、企业差旅以及网络融资等方面进一步深化合作。</w:t>
      </w:r>
      <w:r w:rsidR="004704C7">
        <w:rPr>
          <w:rFonts w:ascii="仿宋_GB2312" w:eastAsia="仿宋_GB2312" w:hAnsi="MS Mincho" w:cs="MS Mincho" w:hint="eastAsia"/>
          <w:sz w:val="28"/>
          <w:szCs w:val="28"/>
        </w:rPr>
        <w:t xml:space="preserve">        </w:t>
      </w:r>
      <w:r>
        <w:rPr>
          <w:rFonts w:ascii="仿宋_GB2312" w:eastAsia="仿宋_GB2312" w:hAnsi="MS Mincho" w:cs="MS Mincho" w:hint="eastAsia"/>
          <w:sz w:val="28"/>
          <w:szCs w:val="28"/>
        </w:rPr>
        <w:t xml:space="preserve">  （</w:t>
      </w:r>
      <w:r w:rsidR="00825221" w:rsidRPr="00825221">
        <w:rPr>
          <w:rFonts w:ascii="仿宋_GB2312" w:eastAsia="仿宋_GB2312" w:hAnsi="MS Mincho" w:cs="MS Mincho" w:hint="eastAsia"/>
          <w:sz w:val="28"/>
          <w:szCs w:val="28"/>
        </w:rPr>
        <w:t>锦江国际</w:t>
      </w:r>
      <w:r w:rsidR="004704C7">
        <w:rPr>
          <w:rFonts w:ascii="仿宋_GB2312" w:eastAsia="仿宋_GB2312" w:hAnsi="MS Mincho" w:cs="MS Mincho" w:hint="eastAsia"/>
          <w:sz w:val="28"/>
          <w:szCs w:val="28"/>
        </w:rPr>
        <w:t>集团</w:t>
      </w:r>
      <w:r>
        <w:rPr>
          <w:rFonts w:ascii="仿宋_GB2312" w:eastAsia="仿宋_GB2312" w:hAnsi="MS Mincho" w:cs="MS Mincho" w:hint="eastAsia"/>
          <w:sz w:val="28"/>
          <w:szCs w:val="28"/>
        </w:rPr>
        <w:t>）</w:t>
      </w:r>
    </w:p>
    <w:p w:rsidR="008A6194" w:rsidRDefault="008A6194" w:rsidP="00F803C2">
      <w:pPr>
        <w:snapToGrid w:val="0"/>
        <w:spacing w:line="440" w:lineRule="exact"/>
        <w:rPr>
          <w:rFonts w:ascii="仿宋_GB2312" w:eastAsia="仿宋_GB2312" w:hAnsi="MS Mincho" w:cs="MS Mincho"/>
          <w:sz w:val="28"/>
          <w:szCs w:val="28"/>
        </w:rPr>
      </w:pPr>
    </w:p>
    <w:p w:rsidR="00BE33F4" w:rsidRPr="00F803C2" w:rsidRDefault="00BE33F4" w:rsidP="00F803C2">
      <w:pPr>
        <w:snapToGrid w:val="0"/>
        <w:spacing w:line="440" w:lineRule="exact"/>
        <w:rPr>
          <w:rFonts w:ascii="仿宋_GB2312" w:eastAsia="仿宋_GB2312" w:hAnsi="MS Mincho" w:cs="MS Mincho"/>
          <w:sz w:val="28"/>
          <w:szCs w:val="28"/>
        </w:rPr>
      </w:pPr>
    </w:p>
    <w:sectPr w:rsidR="00BE33F4" w:rsidRPr="00F803C2" w:rsidSect="00FA73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B5" w:rsidRDefault="008108B5" w:rsidP="00A90C9D">
      <w:r>
        <w:separator/>
      </w:r>
    </w:p>
  </w:endnote>
  <w:endnote w:type="continuationSeparator" w:id="1">
    <w:p w:rsidR="008108B5" w:rsidRDefault="008108B5" w:rsidP="00A9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onotype Corsiva">
    <w:altName w:val="Comic Sans MS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方正舒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B5" w:rsidRDefault="008108B5" w:rsidP="00A90C9D">
      <w:r>
        <w:separator/>
      </w:r>
    </w:p>
  </w:footnote>
  <w:footnote w:type="continuationSeparator" w:id="1">
    <w:p w:rsidR="008108B5" w:rsidRDefault="008108B5" w:rsidP="00A90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D2F"/>
    <w:multiLevelType w:val="multilevel"/>
    <w:tmpl w:val="2CB97D2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396"/>
    <w:rsid w:val="00000FAA"/>
    <w:rsid w:val="00002C07"/>
    <w:rsid w:val="0001329D"/>
    <w:rsid w:val="00015FC2"/>
    <w:rsid w:val="0001742B"/>
    <w:rsid w:val="00031F4C"/>
    <w:rsid w:val="0003469B"/>
    <w:rsid w:val="00034B6D"/>
    <w:rsid w:val="00064FA7"/>
    <w:rsid w:val="0007425C"/>
    <w:rsid w:val="000746E6"/>
    <w:rsid w:val="00074EC8"/>
    <w:rsid w:val="000B3829"/>
    <w:rsid w:val="000C57A1"/>
    <w:rsid w:val="000C5F41"/>
    <w:rsid w:val="000D1BF7"/>
    <w:rsid w:val="000D7214"/>
    <w:rsid w:val="000E02F4"/>
    <w:rsid w:val="000E4F5E"/>
    <w:rsid w:val="0010261D"/>
    <w:rsid w:val="001132B9"/>
    <w:rsid w:val="001405CC"/>
    <w:rsid w:val="00141202"/>
    <w:rsid w:val="00153DFB"/>
    <w:rsid w:val="001662C1"/>
    <w:rsid w:val="00167BF6"/>
    <w:rsid w:val="001773B1"/>
    <w:rsid w:val="00181054"/>
    <w:rsid w:val="001901FE"/>
    <w:rsid w:val="00190D03"/>
    <w:rsid w:val="00193433"/>
    <w:rsid w:val="001A69A5"/>
    <w:rsid w:val="001C6EA8"/>
    <w:rsid w:val="001D4D16"/>
    <w:rsid w:val="001E32B9"/>
    <w:rsid w:val="002007D9"/>
    <w:rsid w:val="00215E03"/>
    <w:rsid w:val="0021625B"/>
    <w:rsid w:val="00225D1D"/>
    <w:rsid w:val="00232574"/>
    <w:rsid w:val="00245B98"/>
    <w:rsid w:val="00250EE1"/>
    <w:rsid w:val="00251F25"/>
    <w:rsid w:val="0027141F"/>
    <w:rsid w:val="002725F5"/>
    <w:rsid w:val="002733F6"/>
    <w:rsid w:val="00276970"/>
    <w:rsid w:val="002772BF"/>
    <w:rsid w:val="002800E1"/>
    <w:rsid w:val="00287E63"/>
    <w:rsid w:val="002963CE"/>
    <w:rsid w:val="002A536F"/>
    <w:rsid w:val="002C7FAC"/>
    <w:rsid w:val="002E20CB"/>
    <w:rsid w:val="002E6AEE"/>
    <w:rsid w:val="002E7F94"/>
    <w:rsid w:val="002F182B"/>
    <w:rsid w:val="003000CC"/>
    <w:rsid w:val="003207EB"/>
    <w:rsid w:val="00321FA9"/>
    <w:rsid w:val="0033744E"/>
    <w:rsid w:val="003378A2"/>
    <w:rsid w:val="003414AF"/>
    <w:rsid w:val="003471A7"/>
    <w:rsid w:val="00352C19"/>
    <w:rsid w:val="00364221"/>
    <w:rsid w:val="00364420"/>
    <w:rsid w:val="003956EC"/>
    <w:rsid w:val="00397B9E"/>
    <w:rsid w:val="003A4ABC"/>
    <w:rsid w:val="003B1C8F"/>
    <w:rsid w:val="003E3910"/>
    <w:rsid w:val="003E6B0D"/>
    <w:rsid w:val="003F2E84"/>
    <w:rsid w:val="00414040"/>
    <w:rsid w:val="00421731"/>
    <w:rsid w:val="0043003B"/>
    <w:rsid w:val="00433D3B"/>
    <w:rsid w:val="00433EDF"/>
    <w:rsid w:val="00440CF1"/>
    <w:rsid w:val="00444494"/>
    <w:rsid w:val="00456E58"/>
    <w:rsid w:val="004704C7"/>
    <w:rsid w:val="00472137"/>
    <w:rsid w:val="00484DDD"/>
    <w:rsid w:val="004908C1"/>
    <w:rsid w:val="0049420C"/>
    <w:rsid w:val="004D0B2F"/>
    <w:rsid w:val="004E6EC0"/>
    <w:rsid w:val="004F5295"/>
    <w:rsid w:val="004F556E"/>
    <w:rsid w:val="00501CEE"/>
    <w:rsid w:val="00503F97"/>
    <w:rsid w:val="005044DE"/>
    <w:rsid w:val="00514BAF"/>
    <w:rsid w:val="00516D7B"/>
    <w:rsid w:val="00537671"/>
    <w:rsid w:val="00584D62"/>
    <w:rsid w:val="005E263F"/>
    <w:rsid w:val="005E6016"/>
    <w:rsid w:val="005F05DF"/>
    <w:rsid w:val="00601ADD"/>
    <w:rsid w:val="006072FB"/>
    <w:rsid w:val="00613385"/>
    <w:rsid w:val="00613B83"/>
    <w:rsid w:val="00621147"/>
    <w:rsid w:val="006224BF"/>
    <w:rsid w:val="006356C1"/>
    <w:rsid w:val="0066278B"/>
    <w:rsid w:val="006708DF"/>
    <w:rsid w:val="006909B1"/>
    <w:rsid w:val="0069118D"/>
    <w:rsid w:val="006945A2"/>
    <w:rsid w:val="00696006"/>
    <w:rsid w:val="006A01E0"/>
    <w:rsid w:val="006B1633"/>
    <w:rsid w:val="006C1CED"/>
    <w:rsid w:val="006D6208"/>
    <w:rsid w:val="007017A3"/>
    <w:rsid w:val="00733342"/>
    <w:rsid w:val="00762A37"/>
    <w:rsid w:val="007817E0"/>
    <w:rsid w:val="00783464"/>
    <w:rsid w:val="00787A46"/>
    <w:rsid w:val="00795958"/>
    <w:rsid w:val="00795B0F"/>
    <w:rsid w:val="007A5104"/>
    <w:rsid w:val="007B4942"/>
    <w:rsid w:val="007C3283"/>
    <w:rsid w:val="007D23E2"/>
    <w:rsid w:val="007E5C11"/>
    <w:rsid w:val="008108B5"/>
    <w:rsid w:val="00823E1D"/>
    <w:rsid w:val="00825221"/>
    <w:rsid w:val="00834365"/>
    <w:rsid w:val="00857916"/>
    <w:rsid w:val="008601FE"/>
    <w:rsid w:val="008602D7"/>
    <w:rsid w:val="00861840"/>
    <w:rsid w:val="00874450"/>
    <w:rsid w:val="0089215D"/>
    <w:rsid w:val="008A6194"/>
    <w:rsid w:val="008D3902"/>
    <w:rsid w:val="00915819"/>
    <w:rsid w:val="009256F7"/>
    <w:rsid w:val="00944AC1"/>
    <w:rsid w:val="00952E47"/>
    <w:rsid w:val="009566BE"/>
    <w:rsid w:val="00960CB4"/>
    <w:rsid w:val="00974F69"/>
    <w:rsid w:val="00993DE1"/>
    <w:rsid w:val="009A1E92"/>
    <w:rsid w:val="009A25F5"/>
    <w:rsid w:val="009A2FE3"/>
    <w:rsid w:val="009A7EC7"/>
    <w:rsid w:val="009B533A"/>
    <w:rsid w:val="009B5D0E"/>
    <w:rsid w:val="009C3AE2"/>
    <w:rsid w:val="009D305A"/>
    <w:rsid w:val="009E5B7A"/>
    <w:rsid w:val="009F3A71"/>
    <w:rsid w:val="009F72FA"/>
    <w:rsid w:val="00A14461"/>
    <w:rsid w:val="00A169B1"/>
    <w:rsid w:val="00A16F06"/>
    <w:rsid w:val="00A26676"/>
    <w:rsid w:val="00A445F0"/>
    <w:rsid w:val="00A54D6A"/>
    <w:rsid w:val="00A77CFE"/>
    <w:rsid w:val="00A801C4"/>
    <w:rsid w:val="00A82014"/>
    <w:rsid w:val="00A83AF5"/>
    <w:rsid w:val="00A901CD"/>
    <w:rsid w:val="00A90C9D"/>
    <w:rsid w:val="00AA3DB3"/>
    <w:rsid w:val="00AA6893"/>
    <w:rsid w:val="00AB751F"/>
    <w:rsid w:val="00AD47FF"/>
    <w:rsid w:val="00AD53A2"/>
    <w:rsid w:val="00AE348B"/>
    <w:rsid w:val="00B00A74"/>
    <w:rsid w:val="00B137AC"/>
    <w:rsid w:val="00B14A08"/>
    <w:rsid w:val="00B24B34"/>
    <w:rsid w:val="00B42985"/>
    <w:rsid w:val="00B541E5"/>
    <w:rsid w:val="00B610D4"/>
    <w:rsid w:val="00B6220A"/>
    <w:rsid w:val="00B71AFF"/>
    <w:rsid w:val="00B76D4D"/>
    <w:rsid w:val="00B821DC"/>
    <w:rsid w:val="00BC1A39"/>
    <w:rsid w:val="00BC2683"/>
    <w:rsid w:val="00BC39F2"/>
    <w:rsid w:val="00BE33F4"/>
    <w:rsid w:val="00BE5B5A"/>
    <w:rsid w:val="00C10798"/>
    <w:rsid w:val="00C21152"/>
    <w:rsid w:val="00C355A1"/>
    <w:rsid w:val="00C36125"/>
    <w:rsid w:val="00C42A5D"/>
    <w:rsid w:val="00C43C8C"/>
    <w:rsid w:val="00C45076"/>
    <w:rsid w:val="00C53382"/>
    <w:rsid w:val="00C56905"/>
    <w:rsid w:val="00C66A0C"/>
    <w:rsid w:val="00C75F06"/>
    <w:rsid w:val="00C8455E"/>
    <w:rsid w:val="00CA02A0"/>
    <w:rsid w:val="00CA3B67"/>
    <w:rsid w:val="00CB45A6"/>
    <w:rsid w:val="00CB551D"/>
    <w:rsid w:val="00CD4BD0"/>
    <w:rsid w:val="00CF0723"/>
    <w:rsid w:val="00CF09D0"/>
    <w:rsid w:val="00CF394E"/>
    <w:rsid w:val="00D0734A"/>
    <w:rsid w:val="00D22E35"/>
    <w:rsid w:val="00D37746"/>
    <w:rsid w:val="00D46520"/>
    <w:rsid w:val="00D53FB7"/>
    <w:rsid w:val="00D60AC2"/>
    <w:rsid w:val="00D7393E"/>
    <w:rsid w:val="00D86E90"/>
    <w:rsid w:val="00D9567D"/>
    <w:rsid w:val="00DC2CBB"/>
    <w:rsid w:val="00DC3B6B"/>
    <w:rsid w:val="00DD06E8"/>
    <w:rsid w:val="00DD4CA6"/>
    <w:rsid w:val="00DD5044"/>
    <w:rsid w:val="00DD6737"/>
    <w:rsid w:val="00DE7B7C"/>
    <w:rsid w:val="00E141A9"/>
    <w:rsid w:val="00E25E06"/>
    <w:rsid w:val="00E31A98"/>
    <w:rsid w:val="00E355DA"/>
    <w:rsid w:val="00E47EFA"/>
    <w:rsid w:val="00E552A5"/>
    <w:rsid w:val="00E77D9F"/>
    <w:rsid w:val="00E943ED"/>
    <w:rsid w:val="00EA388C"/>
    <w:rsid w:val="00EA4319"/>
    <w:rsid w:val="00EA55C7"/>
    <w:rsid w:val="00EB3A4D"/>
    <w:rsid w:val="00EB54D6"/>
    <w:rsid w:val="00ED1607"/>
    <w:rsid w:val="00EE16A1"/>
    <w:rsid w:val="00EE19E5"/>
    <w:rsid w:val="00EE1F39"/>
    <w:rsid w:val="00EE209F"/>
    <w:rsid w:val="00EF1FDD"/>
    <w:rsid w:val="00EF6EE8"/>
    <w:rsid w:val="00EF7909"/>
    <w:rsid w:val="00F00A96"/>
    <w:rsid w:val="00F06688"/>
    <w:rsid w:val="00F51DD6"/>
    <w:rsid w:val="00F5758B"/>
    <w:rsid w:val="00F6771A"/>
    <w:rsid w:val="00F80133"/>
    <w:rsid w:val="00F803C2"/>
    <w:rsid w:val="00F971F0"/>
    <w:rsid w:val="00FA5007"/>
    <w:rsid w:val="00FA7396"/>
    <w:rsid w:val="00FB6E59"/>
    <w:rsid w:val="00FB7604"/>
    <w:rsid w:val="00FC3C73"/>
    <w:rsid w:val="00FD5608"/>
    <w:rsid w:val="00FE0930"/>
    <w:rsid w:val="00FE46EA"/>
    <w:rsid w:val="00FF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D305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A7396"/>
    <w:rPr>
      <w:b/>
      <w:bCs/>
    </w:rPr>
  </w:style>
  <w:style w:type="character" w:styleId="a6">
    <w:name w:val="page number"/>
    <w:basedOn w:val="a0"/>
    <w:semiHidden/>
    <w:unhideWhenUsed/>
    <w:rsid w:val="00FA7396"/>
  </w:style>
  <w:style w:type="paragraph" w:customStyle="1" w:styleId="10">
    <w:name w:val="列出段落1"/>
    <w:basedOn w:val="a"/>
    <w:uiPriority w:val="34"/>
    <w:qFormat/>
    <w:rsid w:val="00FA739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FA739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739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305A"/>
    <w:rPr>
      <w:rFonts w:ascii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346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1287FD-C24A-43BD-8DCE-E285808D1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6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上海国资</dc:title>
  <dc:creator>qi pan</dc:creator>
  <cp:lastModifiedBy>user</cp:lastModifiedBy>
  <cp:revision>181</cp:revision>
  <dcterms:created xsi:type="dcterms:W3CDTF">2019-09-24T13:35:00Z</dcterms:created>
  <dcterms:modified xsi:type="dcterms:W3CDTF">2019-11-21T09:29:00Z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