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highlight w:val="none"/>
        </w:rPr>
      </w:pPr>
      <w:r>
        <w:rPr>
          <w:rFonts w:hint="eastAsia"/>
          <w:b/>
          <w:sz w:val="32"/>
          <w:highlight w:val="none"/>
        </w:rPr>
        <w:t>第</w:t>
      </w:r>
      <w:r>
        <w:rPr>
          <w:rFonts w:hint="eastAsia"/>
          <w:b/>
          <w:sz w:val="32"/>
          <w:highlight w:val="none"/>
          <w:lang w:val="en-US" w:eastAsia="zh-CN"/>
        </w:rPr>
        <w:t>3</w:t>
      </w:r>
      <w:r>
        <w:rPr>
          <w:rFonts w:hint="eastAsia"/>
          <w:b/>
          <w:sz w:val="32"/>
          <w:highlight w:val="none"/>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highlight w:val="none"/>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8"/>
          <w:w w:val="94"/>
          <w:kern w:val="0"/>
          <w:sz w:val="28"/>
          <w:highlight w:val="none"/>
          <w:fitText w:val="5040" w:id="-1531678206"/>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Times New Roman" w:hAnsi="Times New Roman" w:eastAsia="仿宋_GB2312"/>
          <w:sz w:val="32"/>
          <w:szCs w:val="32"/>
          <w:highlight w:val="none"/>
          <w:lang w:bidi="ar"/>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w:t>
      </w:r>
      <w:r>
        <w:rPr>
          <w:rFonts w:hint="eastAsia" w:ascii="楷体_GB2312" w:eastAsia="楷体_GB2312"/>
          <w:spacing w:val="-14"/>
          <w:sz w:val="28"/>
          <w:highlight w:val="none"/>
          <w:u w:val="single" w:color="FF0000"/>
          <w:lang w:val="en-US" w:eastAsia="zh-CN"/>
        </w:rPr>
        <w:t>3</w:t>
      </w:r>
      <w:r>
        <w:rPr>
          <w:rFonts w:hint="eastAsia" w:ascii="楷体_GB2312" w:eastAsia="楷体_GB2312"/>
          <w:spacing w:val="-14"/>
          <w:sz w:val="28"/>
          <w:highlight w:val="none"/>
          <w:u w:val="single" w:color="FF0000"/>
        </w:rPr>
        <w:t>年</w:t>
      </w:r>
      <w:r>
        <w:rPr>
          <w:rFonts w:hint="eastAsia" w:ascii="楷体_GB2312" w:eastAsia="楷体_GB2312"/>
          <w:spacing w:val="-14"/>
          <w:sz w:val="28"/>
          <w:highlight w:val="none"/>
          <w:u w:val="single" w:color="FF0000"/>
          <w:lang w:val="en-US" w:eastAsia="zh-CN"/>
        </w:rPr>
        <w:t>2</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6</w:t>
      </w:r>
      <w:r>
        <w:rPr>
          <w:rFonts w:hint="eastAsia" w:ascii="楷体_GB2312" w:eastAsia="楷体_GB2312"/>
          <w:spacing w:val="-14"/>
          <w:sz w:val="28"/>
          <w:highlight w:val="none"/>
          <w:u w:val="single" w:color="FF0000"/>
        </w:rPr>
        <w:t>日</w:t>
      </w:r>
    </w:p>
    <w:p>
      <w:pPr>
        <w:pStyle w:val="2"/>
        <w:keepNext w:val="0"/>
        <w:keepLines w:val="0"/>
        <w:pageBreakBefore w:val="0"/>
        <w:widowControl w:val="0"/>
        <w:kinsoku/>
        <w:wordWrap/>
        <w:overflowPunct/>
        <w:topLinePunct w:val="0"/>
        <w:autoSpaceDE/>
        <w:autoSpaceDN/>
        <w:bidi w:val="0"/>
        <w:adjustRightInd/>
        <w:snapToGrid/>
        <w:textAlignment w:val="auto"/>
        <w:rPr>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ind w:right="-101" w:rightChars="-42"/>
        <w:textAlignment w:val="auto"/>
        <w:rPr>
          <w:highlight w:val="none"/>
        </w:rPr>
      </w:pPr>
      <w:r>
        <w:rPr>
          <w:rFonts w:hint="eastAsia" w:ascii="Times New Roman" w:hAnsi="Times New Roman" w:eastAsia="楷体_GB2312"/>
          <w:b/>
          <w:bCs/>
          <w:sz w:val="32"/>
          <w:szCs w:val="32"/>
          <w:highlight w:val="none"/>
        </w:rPr>
        <w:t>金融工作</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bidi="ar"/>
        </w:rPr>
        <w:t>上海银行荣获2022年度银行间外汇市场多项荣誉</w:t>
      </w:r>
      <w:bookmarkStart w:id="0" w:name="_GoBack"/>
    </w:p>
    <w:bookmarkEnd w:id="0"/>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中国外汇交易中心公布2022年度银行间外汇市场评优结果。上海银行积极履行外汇做市商职责，荣获多项评优奖项。2022年，上海银行积极做好客户服务，通过丰富代客产品结构、提升数字化交易能力、强化市场走势的研判分析等，帮助实体客户规避汇率风险，降低实体融资成本，大力支持实体经济蓬勃发展。</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楷体_GB2312" w:hAnsi="楷体_GB2312" w:eastAsia="楷体_GB2312" w:cs="楷体_GB2312"/>
          <w:b/>
          <w:bCs/>
          <w:sz w:val="32"/>
          <w:szCs w:val="32"/>
          <w:highlight w:val="none"/>
          <w:shd w:val="clear" w:color="auto" w:fill="FFFFFF"/>
          <w:lang w:bidi="ar"/>
        </w:rPr>
        <w:t>囊获四项外汇市场评优奖项</w:t>
      </w:r>
      <w:r>
        <w:rPr>
          <w:rFonts w:hint="eastAsia" w:ascii="楷体_GB2312" w:hAnsi="楷体_GB2312" w:eastAsia="楷体_GB2312" w:cs="楷体_GB2312"/>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在外汇交易中心所公布的2022年银行间外汇市场评选结果中，上海银行荣获“标准化人民币外汇产品交易10强”“2022年度银行间人民币外汇市场40强”“银行间外币对市场20强”“银行间外币货币市场20强”，在评优奖项中排名前列，是城商行中获奖数量最多的机构。</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楷体_GB2312" w:hAnsi="楷体_GB2312" w:eastAsia="楷体_GB2312" w:cs="楷体_GB2312"/>
          <w:b/>
          <w:bCs/>
          <w:sz w:val="32"/>
          <w:szCs w:val="32"/>
          <w:highlight w:val="none"/>
          <w:shd w:val="clear" w:color="auto" w:fill="FFFFFF"/>
          <w:lang w:bidi="ar"/>
        </w:rPr>
        <w:t>持续不断强化核心交易能力</w:t>
      </w:r>
      <w:r>
        <w:rPr>
          <w:rFonts w:hint="eastAsia" w:ascii="楷体_GB2312" w:hAnsi="楷体_GB2312" w:eastAsia="楷体_GB2312" w:cs="楷体_GB2312"/>
          <w:b/>
          <w:bCs/>
          <w:sz w:val="32"/>
          <w:szCs w:val="32"/>
          <w:highlight w:val="none"/>
          <w:shd w:val="clear" w:color="auto" w:fill="FFFFFF"/>
          <w:lang w:eastAsia="zh-CN" w:bidi="ar"/>
        </w:rPr>
        <w:t>。</w:t>
      </w:r>
      <w:r>
        <w:rPr>
          <w:rFonts w:hint="eastAsia" w:ascii="Times New Roman" w:hAnsi="Times New Roman" w:eastAsia="仿宋_GB2312" w:cs="宋体"/>
          <w:sz w:val="32"/>
          <w:szCs w:val="32"/>
          <w:highlight w:val="none"/>
          <w:lang w:val="en-US" w:eastAsia="zh-CN" w:bidi="ar"/>
        </w:rPr>
        <w:t>上海银行作为外汇市场综合做市商，为全市场提供高质量报价和稳定的流动性，数字化程度居市场前列。2022年，上海银行与外汇交易中心合作，创新上线外汇市场首个AI外汇交易员，被交易中心列为2022年银行间外汇市场年终重点回顾事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highlight w:val="none"/>
          <w:lang w:bidi="ar"/>
        </w:rPr>
      </w:pPr>
      <w:r>
        <w:rPr>
          <w:rFonts w:hint="eastAsia" w:ascii="Times New Roman" w:hAnsi="Times New Roman" w:eastAsia="仿宋_GB2312" w:cs="宋体"/>
          <w:sz w:val="32"/>
          <w:szCs w:val="32"/>
          <w:highlight w:val="none"/>
          <w:lang w:val="en-US" w:eastAsia="zh-CN" w:bidi="ar"/>
        </w:rPr>
        <w:t>下一步，上海银行将持续聚焦核心交易能力提升，丰富外汇交易策略库建设，更好应对市场趋势波动；加强交易能力输出，更好支持代客业务发展，提升客户体验。同时，持续推进交易业务数字化建设，提高报价能力及市场参与度，为银行间外汇市场发展贡献更大力量。</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上海银行</w:t>
      </w:r>
      <w:r>
        <w:rPr>
          <w:rFonts w:hint="eastAsia" w:ascii="Times New Roman" w:hAnsi="Times New Roman" w:eastAsia="仿宋_GB231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仿宋_GB2312"/>
          <w:sz w:val="32"/>
          <w:szCs w:val="32"/>
          <w:highlight w:val="none"/>
          <w:shd w:val="clear" w:color="auto" w:fill="FFFFFF"/>
          <w:lang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ind w:right="-101" w:rightChars="-42"/>
        <w:textAlignment w:val="auto"/>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楷体_GB2312"/>
          <w:b/>
          <w:bCs/>
          <w:sz w:val="32"/>
          <w:szCs w:val="32"/>
          <w:highlight w:val="none"/>
        </w:rPr>
        <w:t>国企之窗</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eastAsia="华文中宋"/>
          <w:highlight w:val="none"/>
          <w:lang w:eastAsia="zh-CN"/>
        </w:rPr>
      </w:pPr>
      <w:r>
        <w:rPr>
          <w:rFonts w:hint="eastAsia" w:ascii="Times New Roman" w:hAnsi="Times New Roman" w:eastAsia="华文中宋" w:cs="华文中宋"/>
          <w:sz w:val="36"/>
          <w:szCs w:val="36"/>
          <w:highlight w:val="none"/>
          <w:shd w:val="clear" w:color="auto" w:fill="FFFFFF"/>
          <w:lang w:bidi="ar"/>
        </w:rPr>
        <w:t>新年新旅程</w:t>
      </w:r>
      <w:r>
        <w:rPr>
          <w:rFonts w:hint="eastAsia" w:ascii="Times New Roman" w:hAnsi="Times New Roman" w:eastAsia="华文中宋" w:cs="华文中宋"/>
          <w:sz w:val="36"/>
          <w:szCs w:val="36"/>
          <w:highlight w:val="none"/>
          <w:shd w:val="clear" w:color="auto" w:fill="FFFFFF"/>
          <w:lang w:val="en-US" w:eastAsia="zh-CN" w:bidi="ar"/>
        </w:rPr>
        <w:t xml:space="preserve"> </w:t>
      </w:r>
      <w:r>
        <w:rPr>
          <w:rFonts w:hint="eastAsia" w:ascii="Times New Roman" w:hAnsi="Times New Roman" w:eastAsia="华文中宋" w:cs="华文中宋"/>
          <w:sz w:val="36"/>
          <w:szCs w:val="36"/>
          <w:highlight w:val="none"/>
          <w:shd w:val="clear" w:color="auto" w:fill="FFFFFF"/>
          <w:lang w:bidi="ar"/>
        </w:rPr>
        <w:t>上海机场客流迎来高峰</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eastAsia="zh-CN" w:bidi="ar"/>
        </w:rPr>
        <w:t>今年1月，上海浦东、虹桥机场共保障进出港航班45368架次（其中浦东机场26523架次，虹桥机场18845架次），恢复至2019年同期七成水平；客流量521.19万人次（其中浦东机场272.27万人次，虹桥机场248.92万人次），恢复至2019年同期五成水平。随着上海国际客运航班逐步恢复，目前浦东机场国际客运航班日均约80班，同比增长1倍左右，通达全球30个国家42个国际航点。</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eastAsia="zh-CN" w:bidi="ar"/>
        </w:rPr>
        <w:t>期间，上海机场经历了寒潮、大风、低温天气等多重考验，协同各保障单位安全高效运行。此外，为尽快疏散到港旅客前往目的地，浦东机场的机场一线、二线、四线、九线增加班次加密发车间隔，守航夜宵线备车增至20辆。出租车站点提前研判到港航班信息，与各大出租车公司密切沟通，尽快调配车辆满足旅客用车需求，视现场客流情况及时安排应急大巴免费将旅客送至换乘线路较多的地铁站。</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eastAsia="zh-CN" w:bidi="ar"/>
        </w:rPr>
        <w:t>两机场推出的乘机全流程自助服务、“无障碍通道”人性化服务、“从车门到舱门”全流程服务等服务举措，让旅客出行更加温暖、更加便捷。（机场集团）</w:t>
      </w:r>
    </w:p>
    <w:p>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highlight w:val="none"/>
        </w:rPr>
      </w:pPr>
      <w:r>
        <w:rPr>
          <w:rFonts w:hint="eastAsia" w:ascii="Times New Roman" w:hAnsi="Times New Roman" w:eastAsia="华文中宋" w:cs="华文中宋"/>
          <w:sz w:val="36"/>
          <w:szCs w:val="36"/>
          <w:highlight w:val="none"/>
          <w:shd w:val="clear" w:color="auto" w:fill="FFFFFF"/>
          <w:lang w:bidi="ar"/>
        </w:rPr>
        <w:t>应对低温天气</w:t>
      </w:r>
      <w:r>
        <w:rPr>
          <w:rFonts w:hint="eastAsia" w:ascii="Times New Roman" w:hAnsi="Times New Roman" w:eastAsia="华文中宋" w:cs="华文中宋"/>
          <w:sz w:val="36"/>
          <w:szCs w:val="36"/>
          <w:highlight w:val="none"/>
          <w:shd w:val="clear" w:color="auto" w:fill="FFFFFF"/>
          <w:lang w:val="en-US" w:eastAsia="zh-CN" w:bidi="ar"/>
        </w:rPr>
        <w:t xml:space="preserve"> </w:t>
      </w:r>
      <w:r>
        <w:rPr>
          <w:rFonts w:hint="eastAsia" w:ascii="Times New Roman" w:hAnsi="Times New Roman" w:eastAsia="华文中宋" w:cs="华文中宋"/>
          <w:sz w:val="36"/>
          <w:szCs w:val="36"/>
          <w:highlight w:val="none"/>
          <w:shd w:val="clear" w:color="auto" w:fill="FFFFFF"/>
          <w:lang w:eastAsia="zh-CN" w:bidi="ar"/>
        </w:rPr>
        <w:t>上海国资国企</w:t>
      </w:r>
      <w:r>
        <w:rPr>
          <w:rFonts w:hint="eastAsia" w:ascii="Times New Roman" w:hAnsi="Times New Roman" w:eastAsia="华文中宋" w:cs="华文中宋"/>
          <w:sz w:val="36"/>
          <w:szCs w:val="36"/>
          <w:highlight w:val="none"/>
          <w:shd w:val="clear" w:color="auto" w:fill="FFFFFF"/>
          <w:lang w:bidi="ar"/>
        </w:rPr>
        <w:t>保障城市运行</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面对申城</w:t>
      </w:r>
      <w:r>
        <w:rPr>
          <w:rFonts w:hint="eastAsia" w:ascii="Times New Roman" w:hAnsi="Times New Roman" w:eastAsia="仿宋_GB2312"/>
          <w:sz w:val="32"/>
          <w:szCs w:val="32"/>
          <w:highlight w:val="none"/>
          <w:lang w:eastAsia="zh-CN" w:bidi="ar"/>
        </w:rPr>
        <w:t>低温天气</w:t>
      </w:r>
      <w:r>
        <w:rPr>
          <w:rFonts w:hint="eastAsia" w:ascii="Times New Roman" w:hAnsi="Times New Roman" w:eastAsia="仿宋_GB2312"/>
          <w:sz w:val="32"/>
          <w:szCs w:val="32"/>
          <w:highlight w:val="none"/>
          <w:lang w:bidi="ar"/>
        </w:rPr>
        <w:t>，上海城投集团、久事集团、申通地铁集团落实各项应对措施，守护申城平稳有序运行。</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上海城投集团</w:t>
      </w:r>
      <w:r>
        <w:rPr>
          <w:rFonts w:hint="eastAsia" w:ascii="Times New Roman" w:hAnsi="Times New Roman" w:eastAsia="仿宋_GB2312"/>
          <w:sz w:val="32"/>
          <w:szCs w:val="32"/>
          <w:highlight w:val="none"/>
          <w:lang w:bidi="ar"/>
        </w:rPr>
        <w:t>下</w:t>
      </w:r>
      <w:r>
        <w:rPr>
          <w:rFonts w:hint="default" w:ascii="Times New Roman" w:hAnsi="Times New Roman" w:eastAsia="仿宋_GB2312" w:cs="Times New Roman"/>
          <w:sz w:val="32"/>
          <w:szCs w:val="32"/>
          <w:highlight w:val="none"/>
          <w:lang w:bidi="ar"/>
        </w:rPr>
        <w:t>属</w:t>
      </w:r>
      <w:r>
        <w:rPr>
          <w:rFonts w:hint="default" w:ascii="Times New Roman" w:hAnsi="Times New Roman" w:eastAsia="仿宋_GB2312" w:cs="Times New Roman"/>
          <w:b/>
          <w:bCs/>
          <w:sz w:val="32"/>
          <w:szCs w:val="32"/>
          <w:highlight w:val="none"/>
          <w:shd w:val="clear" w:color="auto" w:fill="FFFFFF"/>
          <w:lang w:bidi="ar"/>
        </w:rPr>
        <w:t>城投公路</w:t>
      </w:r>
      <w:r>
        <w:rPr>
          <w:rFonts w:hint="default" w:ascii="Times New Roman" w:hAnsi="Times New Roman" w:eastAsia="仿宋_GB2312" w:cs="Times New Roman"/>
          <w:sz w:val="32"/>
          <w:szCs w:val="32"/>
          <w:highlight w:val="none"/>
          <w:lang w:bidi="ar"/>
        </w:rPr>
        <w:t>开展隐患排查治理，落实冰雪天应急物资储备、设施保养、应急人员等工作，其中应急待命人员314人，各类功能车69辆，融雪剂等储备350余吨，保障道路设施的安全畅通。</w:t>
      </w:r>
      <w:r>
        <w:rPr>
          <w:rFonts w:hint="default" w:ascii="Times New Roman" w:hAnsi="Times New Roman" w:eastAsia="仿宋_GB2312" w:cs="Times New Roman"/>
          <w:b/>
          <w:bCs/>
          <w:sz w:val="32"/>
          <w:szCs w:val="32"/>
          <w:highlight w:val="none"/>
          <w:shd w:val="clear" w:color="auto" w:fill="FFFFFF"/>
          <w:lang w:bidi="ar"/>
        </w:rPr>
        <w:t>城投水务</w:t>
      </w:r>
      <w:r>
        <w:rPr>
          <w:rFonts w:hint="default" w:ascii="Times New Roman" w:hAnsi="Times New Roman" w:eastAsia="仿宋_GB2312" w:cs="Times New Roman"/>
          <w:sz w:val="32"/>
          <w:szCs w:val="32"/>
          <w:highlight w:val="none"/>
          <w:lang w:bidi="ar"/>
        </w:rPr>
        <w:t>启动寒潮应急保障预案，动态掌握区域用水变化情况，对发生用水困难的区域，第一时间处置，全力保障寒潮期间的供水平稳。</w:t>
      </w:r>
      <w:r>
        <w:rPr>
          <w:rFonts w:hint="default" w:ascii="Times New Roman" w:hAnsi="Times New Roman" w:eastAsia="仿宋_GB2312" w:cs="Times New Roman"/>
          <w:b/>
          <w:bCs/>
          <w:sz w:val="32"/>
          <w:szCs w:val="32"/>
          <w:highlight w:val="none"/>
          <w:shd w:val="clear" w:color="auto" w:fill="FFFFFF"/>
          <w:lang w:bidi="ar"/>
        </w:rPr>
        <w:t>城投环境</w:t>
      </w:r>
      <w:r>
        <w:rPr>
          <w:rFonts w:hint="default" w:ascii="Times New Roman" w:hAnsi="Times New Roman" w:eastAsia="仿宋_GB2312" w:cs="Times New Roman"/>
          <w:sz w:val="32"/>
          <w:szCs w:val="32"/>
          <w:highlight w:val="none"/>
          <w:lang w:bidi="ar"/>
        </w:rPr>
        <w:t>加强对转运、处置各环节的运行监控，缩短巡检周期</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做好防寒防冻应急物资储备，全面检查应急抢修</w:t>
      </w:r>
      <w:r>
        <w:rPr>
          <w:rFonts w:hint="eastAsia" w:ascii="Times New Roman" w:hAnsi="Times New Roman" w:eastAsia="仿宋_GB2312"/>
          <w:sz w:val="32"/>
          <w:szCs w:val="32"/>
          <w:highlight w:val="none"/>
          <w:lang w:bidi="ar"/>
        </w:rPr>
        <w:t>工器具，保障在“速冻模式”下城市环境安全有序运营。</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久事集团</w:t>
      </w:r>
      <w:r>
        <w:rPr>
          <w:rFonts w:hint="eastAsia" w:ascii="Times New Roman" w:hAnsi="Times New Roman" w:eastAsia="仿宋_GB2312"/>
          <w:sz w:val="32"/>
          <w:szCs w:val="32"/>
          <w:highlight w:val="none"/>
          <w:lang w:bidi="ar"/>
        </w:rPr>
        <w:t>下</w:t>
      </w:r>
      <w:r>
        <w:rPr>
          <w:rFonts w:hint="eastAsia" w:ascii="仿宋_GB2312" w:hAnsi="仿宋_GB2312" w:eastAsia="仿宋_GB2312" w:cs="仿宋_GB2312"/>
          <w:sz w:val="32"/>
          <w:szCs w:val="32"/>
          <w:highlight w:val="none"/>
          <w:lang w:bidi="ar"/>
        </w:rPr>
        <w:t>属</w:t>
      </w:r>
      <w:r>
        <w:rPr>
          <w:rFonts w:hint="eastAsia" w:ascii="仿宋_GB2312" w:hAnsi="仿宋_GB2312" w:eastAsia="仿宋_GB2312" w:cs="仿宋_GB2312"/>
          <w:b/>
          <w:bCs/>
          <w:sz w:val="32"/>
          <w:szCs w:val="32"/>
          <w:highlight w:val="none"/>
          <w:shd w:val="clear" w:color="auto" w:fill="FFFFFF"/>
          <w:lang w:bidi="ar"/>
        </w:rPr>
        <w:t>水上旅游客运企业</w:t>
      </w:r>
      <w:r>
        <w:rPr>
          <w:rFonts w:hint="eastAsia" w:ascii="仿宋_GB2312" w:hAnsi="仿宋_GB2312" w:eastAsia="仿宋_GB2312" w:cs="仿宋_GB2312"/>
          <w:sz w:val="32"/>
          <w:szCs w:val="32"/>
          <w:highlight w:val="none"/>
          <w:lang w:bidi="ar"/>
        </w:rPr>
        <w:t>及时启动恶劣天气应急保障方案，对靠泊后的船舶缆绳进行加固，做好船舶设备的保暖工作及开航前的暖机工作，并提前铺设防滑垫、麻袋包，确保船舶、码头状况良好，每日轮渡、旅游航班航行正常。</w:t>
      </w:r>
      <w:r>
        <w:rPr>
          <w:rFonts w:hint="eastAsia" w:ascii="仿宋_GB2312" w:hAnsi="仿宋_GB2312" w:eastAsia="仿宋_GB2312" w:cs="仿宋_GB2312"/>
          <w:b/>
          <w:bCs/>
          <w:sz w:val="32"/>
          <w:szCs w:val="32"/>
          <w:highlight w:val="none"/>
          <w:shd w:val="clear" w:color="auto" w:fill="FFFFFF"/>
          <w:lang w:bidi="ar"/>
        </w:rPr>
        <w:t>久事体育</w:t>
      </w:r>
      <w:r>
        <w:rPr>
          <w:rFonts w:hint="eastAsia" w:ascii="仿宋_GB2312" w:hAnsi="仿宋_GB2312" w:eastAsia="仿宋_GB2312" w:cs="仿宋_GB2312"/>
          <w:sz w:val="32"/>
          <w:szCs w:val="32"/>
          <w:highlight w:val="none"/>
          <w:lang w:bidi="ar"/>
        </w:rPr>
        <w:t>对所属各公共体育场馆露天停车部位或公众开放区域开展防滑防冰冻工作，并为市民提供避风场所和开水。</w:t>
      </w:r>
      <w:r>
        <w:rPr>
          <w:rFonts w:hint="eastAsia" w:ascii="仿宋_GB2312" w:hAnsi="仿宋_GB2312" w:eastAsia="仿宋_GB2312" w:cs="仿宋_GB2312"/>
          <w:b/>
          <w:bCs/>
          <w:sz w:val="32"/>
          <w:szCs w:val="32"/>
          <w:highlight w:val="none"/>
          <w:shd w:val="clear" w:color="auto" w:fill="FFFFFF"/>
          <w:lang w:bidi="ar"/>
        </w:rPr>
        <w:t>久事置业</w:t>
      </w:r>
      <w:r>
        <w:rPr>
          <w:rFonts w:hint="eastAsia" w:ascii="仿宋_GB2312" w:hAnsi="仿宋_GB2312" w:eastAsia="仿宋_GB2312" w:cs="仿宋_GB2312"/>
          <w:sz w:val="32"/>
          <w:szCs w:val="32"/>
          <w:highlight w:val="none"/>
          <w:lang w:bidi="ar"/>
        </w:rPr>
        <w:t>对所辖大楼加强巡视巡检，为管线、阀门穿上“防寒服”，对室外临时搭建、广告牌、空调外机等处进行加固处理并检查电源线路和漏</w:t>
      </w:r>
      <w:r>
        <w:rPr>
          <w:rFonts w:hint="eastAsia" w:ascii="Times New Roman" w:hAnsi="Times New Roman" w:eastAsia="仿宋_GB2312"/>
          <w:sz w:val="32"/>
          <w:szCs w:val="32"/>
          <w:highlight w:val="none"/>
          <w:lang w:bidi="ar"/>
        </w:rPr>
        <w:t>电保护装置，确保设施设备运行良好。</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申通地铁集团</w:t>
      </w:r>
      <w:r>
        <w:rPr>
          <w:rFonts w:hint="eastAsia" w:ascii="Times New Roman" w:hAnsi="Times New Roman" w:eastAsia="仿宋_GB2312"/>
          <w:sz w:val="32"/>
          <w:szCs w:val="32"/>
          <w:highlight w:val="none"/>
          <w:lang w:bidi="ar"/>
        </w:rPr>
        <w:t>关注天气变化，增配人员，加强现场客流监测及引导、客流秩序维护</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确保极端天气下的车站客运组织安全顺畅。针对高峰时段可能出现的客流拥堵点，提前制定大客流管控措施及配套的引导标识，调整车站设施设备，加强动态客流疏导与管控。在出入口、上下楼梯处等重要位置放置防滑提示牌、铺设防滑垫，做好地面防滑措施。同时车站利用站内广播向乘客宣传雪天安全出行提示，加强人员在出入口、楼梯、通道等重点部位的客流疏导，保障每位乘客的出行安全。（</w:t>
      </w:r>
      <w:r>
        <w:rPr>
          <w:rFonts w:hint="eastAsia" w:ascii="Times New Roman" w:hAnsi="Times New Roman" w:eastAsia="仿宋_GB2312"/>
          <w:sz w:val="32"/>
          <w:szCs w:val="32"/>
          <w:highlight w:val="none"/>
          <w:lang w:eastAsia="zh-CN" w:bidi="ar"/>
        </w:rPr>
        <w:t>上海城投集团、久事集团、申通地铁集团</w:t>
      </w:r>
      <w:r>
        <w:rPr>
          <w:rFonts w:hint="eastAsia" w:ascii="Times New Roman" w:hAnsi="Times New Roman" w:eastAsia="仿宋_GB2312"/>
          <w:sz w:val="32"/>
          <w:szCs w:val="32"/>
          <w:highlight w:val="none"/>
          <w:lang w:bidi="ar"/>
        </w:rPr>
        <w:t>）</w:t>
      </w:r>
    </w:p>
    <w:p>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highlight w:val="none"/>
        </w:rPr>
      </w:pPr>
      <w:r>
        <w:rPr>
          <w:rFonts w:hint="eastAsia" w:ascii="Times New Roman" w:hAnsi="Times New Roman" w:eastAsia="华文中宋" w:cs="华文中宋"/>
          <w:sz w:val="36"/>
          <w:szCs w:val="36"/>
          <w:highlight w:val="none"/>
          <w:shd w:val="clear" w:color="auto" w:fill="FFFFFF"/>
          <w:lang w:bidi="ar"/>
        </w:rPr>
        <w:t>上海城投集团</w:t>
      </w:r>
      <w:r>
        <w:rPr>
          <w:rFonts w:hint="eastAsia" w:ascii="Times New Roman" w:hAnsi="Times New Roman" w:eastAsia="华文中宋" w:cs="华文中宋"/>
          <w:sz w:val="36"/>
          <w:szCs w:val="36"/>
          <w:highlight w:val="none"/>
          <w:shd w:val="clear" w:color="auto" w:fill="FFFFFF"/>
          <w:lang w:eastAsia="zh-CN" w:bidi="ar"/>
        </w:rPr>
        <w:t>打造养老品牌</w:t>
      </w:r>
      <w:r>
        <w:rPr>
          <w:rFonts w:hint="eastAsia" w:ascii="Times New Roman" w:hAnsi="Times New Roman" w:eastAsia="华文中宋" w:cs="华文中宋"/>
          <w:sz w:val="36"/>
          <w:szCs w:val="36"/>
          <w:highlight w:val="none"/>
          <w:shd w:val="clear" w:color="auto" w:fill="FFFFFF"/>
          <w:lang w:bidi="ar"/>
        </w:rPr>
        <w:t xml:space="preserve"> 提升养老品质</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eastAsia="zh-CN" w:bidi="ar"/>
        </w:rPr>
        <w:t>近日，由上海城投集团投资建设运营的上海普陀城怡养护院交付启用，该院是上海城投“颐养天年”养老品牌旗下第一家养老服务机构，也是上海城投打造“医养结合”高品质养老服务综合体的一次积极探索。</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楷体_GB2312" w:cs="Times New Roman"/>
          <w:b/>
          <w:bCs/>
          <w:sz w:val="32"/>
          <w:szCs w:val="32"/>
          <w:highlight w:val="none"/>
          <w:shd w:val="clear" w:color="auto" w:fill="FFFFFF"/>
          <w:lang w:eastAsia="zh-CN" w:bidi="ar"/>
        </w:rPr>
        <w:t>“城投力量”助力社会养老。</w:t>
      </w:r>
      <w:r>
        <w:rPr>
          <w:rFonts w:hint="eastAsia" w:ascii="Times New Roman" w:hAnsi="Times New Roman" w:eastAsia="仿宋_GB2312"/>
          <w:sz w:val="32"/>
          <w:szCs w:val="32"/>
          <w:highlight w:val="none"/>
          <w:lang w:eastAsia="zh-CN" w:bidi="ar"/>
        </w:rPr>
        <w:t>主动服务老龄化战略，盘活“曹杨淤泥码头”存量资产，创设一站式民办非盈利养老综合体，打造“颐养天年”市中心示范性养老品牌，推进民生实事工程落地，助力社会养老服务事业。</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楷体_GB2312" w:cs="Times New Roman"/>
          <w:b/>
          <w:bCs/>
          <w:sz w:val="32"/>
          <w:szCs w:val="32"/>
          <w:highlight w:val="none"/>
          <w:shd w:val="clear" w:color="auto" w:fill="FFFFFF"/>
          <w:lang w:eastAsia="zh-CN" w:bidi="ar"/>
        </w:rPr>
        <w:t>“城投方案”提升养老品质。</w:t>
      </w:r>
      <w:r>
        <w:rPr>
          <w:rFonts w:hint="eastAsia" w:ascii="Times New Roman" w:hAnsi="Times New Roman" w:eastAsia="仿宋_GB2312"/>
          <w:sz w:val="32"/>
          <w:szCs w:val="32"/>
          <w:highlight w:val="none"/>
          <w:lang w:eastAsia="zh-CN" w:bidi="ar"/>
        </w:rPr>
        <w:t>搭建智慧养老平台，建立“一人一案”健康档案，安装监测预警等智能化设备，实现养护院与家属、医疗机构互联互通，“数字养老”赋能全方位、个性化服务。多渠道对接社会医疗资源，开办内设医疗机构，特设认知症专区，推进“医养结合”高品质养老。完善服务设施，融入人文关怀，提供专业化照护方案，提升长者幸福感满足感。</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eastAsia="zh-CN" w:bidi="ar"/>
        </w:rPr>
        <w:t>“城投品质”赋能社区养老。</w:t>
      </w:r>
      <w:r>
        <w:rPr>
          <w:rFonts w:hint="eastAsia" w:ascii="Times New Roman" w:hAnsi="Times New Roman" w:eastAsia="仿宋_GB2312"/>
          <w:sz w:val="32"/>
          <w:szCs w:val="32"/>
          <w:highlight w:val="none"/>
          <w:lang w:eastAsia="zh-CN" w:bidi="ar"/>
        </w:rPr>
        <w:t>推进机构养老与居家养老、社区养老融合发展，深化与属地社区居民联建共建，探索养老机构专业服务向社区、家庭延伸，搭建健康科普、居家养护、预防保健并等公益便民服务平台，申办对外医疗机构服务周边长者，打造“居、康、医、社”四位一体的“辐射型”社区养老机构。</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上海城投集团</w:t>
      </w:r>
      <w:r>
        <w:rPr>
          <w:rFonts w:hint="eastAsia" w:ascii="Times New Roman" w:hAnsi="Times New Roman" w:eastAsia="仿宋_GB231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bidi="ar"/>
        </w:rPr>
        <w:t>上海电气优化能源组合</w:t>
      </w:r>
      <w:r>
        <w:rPr>
          <w:rFonts w:hint="eastAsia" w:ascii="Times New Roman" w:hAnsi="Times New Roman" w:eastAsia="华文中宋" w:cs="华文中宋"/>
          <w:sz w:val="36"/>
          <w:szCs w:val="36"/>
          <w:highlight w:val="none"/>
          <w:shd w:val="clear" w:color="auto" w:fill="FFFFFF"/>
          <w:lang w:val="en-US" w:eastAsia="zh-CN" w:bidi="ar"/>
        </w:rPr>
        <w:t xml:space="preserve"> </w:t>
      </w:r>
      <w:r>
        <w:rPr>
          <w:rFonts w:hint="eastAsia" w:ascii="Times New Roman" w:hAnsi="Times New Roman" w:eastAsia="华文中宋" w:cs="华文中宋"/>
          <w:sz w:val="36"/>
          <w:szCs w:val="36"/>
          <w:highlight w:val="none"/>
          <w:shd w:val="clear" w:color="auto" w:fill="FFFFFF"/>
          <w:lang w:bidi="ar"/>
        </w:rPr>
        <w:t>推动低碳发展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近年来，上海电气不断优化组合，在“风光水火储”多能互补及“源网荷储氢”一体化业务上实现多点布局，“一站式综合智慧能源系统解决方案”逐步覆盖“源网荷储氢”的各个环节。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楷体_GB2312" w:cs="Times New Roman"/>
          <w:b/>
          <w:bCs/>
          <w:sz w:val="32"/>
          <w:szCs w:val="32"/>
          <w:highlight w:val="none"/>
          <w:shd w:val="clear" w:color="auto" w:fill="FFFFFF"/>
          <w:lang w:eastAsia="zh-CN" w:bidi="ar"/>
        </w:rPr>
        <w:t>在</w:t>
      </w:r>
      <w:r>
        <w:rPr>
          <w:rFonts w:hint="eastAsia" w:ascii="Times New Roman" w:hAnsi="Times New Roman" w:eastAsia="楷体_GB2312" w:cs="Times New Roman"/>
          <w:b/>
          <w:bCs/>
          <w:sz w:val="32"/>
          <w:szCs w:val="32"/>
          <w:highlight w:val="none"/>
          <w:shd w:val="clear" w:color="auto" w:fill="FFFFFF"/>
          <w:lang w:bidi="ar"/>
        </w:rPr>
        <w:t>清洁煤电领域</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通过二次再热超临界技术</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提升发电效率，最新的百万千瓦超超临界发电煤耗已达到248.86克每千瓦时。</w:t>
      </w:r>
      <w:r>
        <w:rPr>
          <w:rFonts w:hint="eastAsia" w:ascii="Times New Roman" w:hAnsi="Times New Roman" w:eastAsia="楷体_GB2312" w:cs="Times New Roman"/>
          <w:b/>
          <w:bCs/>
          <w:sz w:val="32"/>
          <w:szCs w:val="32"/>
          <w:highlight w:val="none"/>
          <w:shd w:val="clear" w:color="auto" w:fill="FFFFFF"/>
          <w:lang w:eastAsia="zh-CN" w:bidi="ar"/>
        </w:rPr>
        <w:t>在</w:t>
      </w:r>
      <w:r>
        <w:rPr>
          <w:rFonts w:hint="eastAsia" w:ascii="Times New Roman" w:hAnsi="Times New Roman" w:eastAsia="楷体_GB2312" w:cs="Times New Roman"/>
          <w:b/>
          <w:bCs/>
          <w:sz w:val="32"/>
          <w:szCs w:val="32"/>
          <w:highlight w:val="none"/>
          <w:shd w:val="clear" w:color="auto" w:fill="FFFFFF"/>
          <w:lang w:bidi="ar"/>
        </w:rPr>
        <w:t>风电领域</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制定个性化机组解决方案，陆续发布“海燕”“海神”两个海上风电平台机组</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推出的WINDSIGHT·“巽鸣”风电场数字化设计平台能集成完整的风资源评估工作流程，解决了传统风资源评估缺乏精细化全过程标准方法体系和统一管理平台的难题。</w:t>
      </w:r>
      <w:r>
        <w:rPr>
          <w:rFonts w:hint="eastAsia" w:ascii="Times New Roman" w:hAnsi="Times New Roman" w:eastAsia="楷体_GB2312" w:cs="Times New Roman"/>
          <w:b/>
          <w:bCs/>
          <w:sz w:val="32"/>
          <w:szCs w:val="32"/>
          <w:highlight w:val="none"/>
          <w:shd w:val="clear" w:color="auto" w:fill="FFFFFF"/>
          <w:lang w:eastAsia="zh-CN" w:bidi="ar"/>
        </w:rPr>
        <w:t>在</w:t>
      </w:r>
      <w:r>
        <w:rPr>
          <w:rFonts w:hint="eastAsia" w:ascii="Times New Roman" w:hAnsi="Times New Roman" w:eastAsia="楷体_GB2312" w:cs="Times New Roman"/>
          <w:b/>
          <w:bCs/>
          <w:sz w:val="32"/>
          <w:szCs w:val="32"/>
          <w:highlight w:val="none"/>
          <w:shd w:val="clear" w:color="auto" w:fill="FFFFFF"/>
          <w:lang w:bidi="ar"/>
        </w:rPr>
        <w:t>光热技术领域</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作为世界上规模最大、技术最先进的迪拜950MW光热光伏复合项目的总承包商和主要设备供应商，提供了大规模、长时间、低成本的调节性电源案例示范。项目占地相当于6162个足球场，具备最大熔盐储备热量，可实现24小时连续发电。</w:t>
      </w:r>
      <w:r>
        <w:rPr>
          <w:rFonts w:hint="eastAsia" w:ascii="Times New Roman" w:hAnsi="Times New Roman" w:eastAsia="楷体_GB2312" w:cs="Times New Roman"/>
          <w:b/>
          <w:bCs/>
          <w:sz w:val="32"/>
          <w:szCs w:val="32"/>
          <w:highlight w:val="none"/>
          <w:shd w:val="clear" w:color="auto" w:fill="FFFFFF"/>
          <w:lang w:bidi="ar"/>
        </w:rPr>
        <w:t>液流储能领域</w:t>
      </w:r>
      <w:r>
        <w:rPr>
          <w:rFonts w:hint="eastAsia" w:ascii="Times New Roman" w:hAnsi="Times New Roman" w:eastAsia="仿宋_GB2312"/>
          <w:sz w:val="32"/>
          <w:szCs w:val="32"/>
          <w:highlight w:val="none"/>
          <w:lang w:bidi="ar"/>
        </w:rPr>
        <w:t>具备系统级储能电站设计综合能力，集装箱式钒电池系统产品从5kW电堆到25kW电堆，再到技术领先的50kW大功率电堆，形成自主知识产权。</w:t>
      </w:r>
      <w:r>
        <w:rPr>
          <w:rFonts w:hint="eastAsia" w:ascii="Times New Roman" w:hAnsi="Times New Roman" w:eastAsia="楷体_GB2312" w:cs="Times New Roman"/>
          <w:b/>
          <w:bCs/>
          <w:sz w:val="32"/>
          <w:szCs w:val="32"/>
          <w:highlight w:val="none"/>
          <w:shd w:val="clear" w:color="auto" w:fill="FFFFFF"/>
          <w:lang w:eastAsia="zh-CN" w:bidi="ar"/>
        </w:rPr>
        <w:t>在</w:t>
      </w:r>
      <w:r>
        <w:rPr>
          <w:rFonts w:hint="eastAsia" w:ascii="Times New Roman" w:hAnsi="Times New Roman" w:eastAsia="楷体_GB2312" w:cs="Times New Roman"/>
          <w:b/>
          <w:bCs/>
          <w:sz w:val="32"/>
          <w:szCs w:val="32"/>
          <w:highlight w:val="none"/>
          <w:shd w:val="clear" w:color="auto" w:fill="FFFFFF"/>
          <w:lang w:bidi="ar"/>
        </w:rPr>
        <w:t>锂电储能领域</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在能源终端的锂电储能产品和工业终端的锂电产线装备上，初步形成了相互协同的锂电池装备产业链生态圈。</w:t>
      </w:r>
      <w:r>
        <w:rPr>
          <w:rFonts w:hint="eastAsia" w:ascii="Times New Roman" w:hAnsi="Times New Roman" w:eastAsia="楷体_GB2312" w:cs="Times New Roman"/>
          <w:b/>
          <w:bCs/>
          <w:sz w:val="32"/>
          <w:szCs w:val="32"/>
          <w:highlight w:val="none"/>
          <w:shd w:val="clear" w:color="auto" w:fill="FFFFFF"/>
          <w:lang w:eastAsia="zh-CN" w:bidi="ar"/>
        </w:rPr>
        <w:t>在</w:t>
      </w:r>
      <w:r>
        <w:rPr>
          <w:rFonts w:hint="eastAsia" w:ascii="Times New Roman" w:hAnsi="Times New Roman" w:eastAsia="楷体_GB2312" w:cs="Times New Roman"/>
          <w:b/>
          <w:bCs/>
          <w:sz w:val="32"/>
          <w:szCs w:val="32"/>
          <w:highlight w:val="none"/>
          <w:shd w:val="clear" w:color="auto" w:fill="FFFFFF"/>
          <w:lang w:bidi="ar"/>
        </w:rPr>
        <w:t>氢能技术领域</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聚焦规模化、低成本制氢装备和“绿氢+碳捕集”合成甲醇，及加氢合成氨等规模化用氢装备，以此形成“可再生能源制氢+二氧化碳捕集绿色化工”的规模化、低成本氢能产业发展闭环。</w:t>
      </w:r>
      <w:r>
        <w:rPr>
          <w:rFonts w:hint="eastAsia" w:ascii="Times New Roman" w:hAnsi="Times New Roman" w:eastAsia="楷体_GB2312" w:cs="Times New Roman"/>
          <w:b/>
          <w:bCs/>
          <w:sz w:val="32"/>
          <w:szCs w:val="32"/>
          <w:highlight w:val="none"/>
          <w:shd w:val="clear" w:color="auto" w:fill="FFFFFF"/>
          <w:lang w:eastAsia="zh-CN" w:bidi="ar"/>
        </w:rPr>
        <w:t>在</w:t>
      </w:r>
      <w:r>
        <w:rPr>
          <w:rFonts w:hint="eastAsia" w:ascii="Times New Roman" w:hAnsi="Times New Roman" w:eastAsia="楷体_GB2312" w:cs="Times New Roman"/>
          <w:b/>
          <w:bCs/>
          <w:sz w:val="32"/>
          <w:szCs w:val="32"/>
          <w:highlight w:val="none"/>
          <w:shd w:val="clear" w:color="auto" w:fill="FFFFFF"/>
          <w:lang w:bidi="ar"/>
        </w:rPr>
        <w:t>二氧化碳捕捉及其综合利用领域</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参建的浙江嘉化规模化碳捕集及综合利用项目将具备20万吨/年二氧化碳捕捉能力，并在园区配套加氢气合成13万吨/年的甲醇示范工程，为实现原料用能的绿色化进程提供了可行的实施路径。</w:t>
      </w:r>
      <w:r>
        <w:rPr>
          <w:rFonts w:hint="eastAsia" w:ascii="Times New Roman" w:hAnsi="Times New Roman" w:eastAsia="仿宋_GB2312"/>
          <w:sz w:val="32"/>
          <w:szCs w:val="32"/>
          <w:highlight w:val="none"/>
          <w:lang w:eastAsia="zh-CN" w:bidi="ar"/>
        </w:rPr>
        <w:t>（上海电气）</w:t>
      </w:r>
    </w:p>
    <w:p>
      <w:pPr>
        <w:keepNext w:val="0"/>
        <w:keepLines w:val="0"/>
        <w:pageBreakBefore w:val="0"/>
        <w:widowControl w:val="0"/>
        <w:kinsoku/>
        <w:wordWrap/>
        <w:overflowPunct/>
        <w:topLinePunct w:val="0"/>
        <w:autoSpaceDE/>
        <w:autoSpaceDN/>
        <w:bidi w:val="0"/>
        <w:adjustRightInd/>
        <w:snapToGrid/>
        <w:textAlignment w:val="auto"/>
        <w:rPr>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上海地产集团聚焦双碳目标</w:t>
      </w:r>
      <w:r>
        <w:rPr>
          <w:rFonts w:hint="eastAsia" w:ascii="Times New Roman" w:hAnsi="Times New Roman" w:eastAsia="华文中宋" w:cs="华文中宋"/>
          <w:sz w:val="36"/>
          <w:szCs w:val="36"/>
          <w:highlight w:val="none"/>
          <w:shd w:val="clear" w:color="auto" w:fill="FFFFFF"/>
          <w:lang w:val="en-US" w:eastAsia="zh-CN" w:bidi="ar"/>
        </w:rPr>
        <w:t xml:space="preserve"> </w:t>
      </w:r>
      <w:r>
        <w:rPr>
          <w:rFonts w:hint="eastAsia" w:ascii="Times New Roman" w:hAnsi="Times New Roman" w:eastAsia="华文中宋" w:cs="华文中宋"/>
          <w:sz w:val="36"/>
          <w:szCs w:val="36"/>
          <w:highlight w:val="none"/>
          <w:shd w:val="clear" w:color="auto" w:fill="FFFFFF"/>
          <w:lang w:bidi="ar"/>
        </w:rPr>
        <w:t>探索绿色建材转型发展</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近年来，上海地产集团下属建材集团积极响应国家节能减排政策号召，践行绿色低碳发展理念，加快绿色转型发展。</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绿色低碳先行，助力建筑节能减排</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建筑节能玻璃产品于近期获得由绿色产品认证权威机构国检集团颁发的“产品碳足迹”证书及“Ⅲ型环境声明”证书。确定“碳足迹”能帮助企业辨识产品生命周期中主要温室气体排放过程，以利于制定更有效的减排方案。“Ⅲ型环境声明”可向消费者、经销商等提供与产品相关的环境影响信息，供客户从多个角度评估同类产品的环保表现。</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楷体_GB2312" w:cs="Times New Roman"/>
          <w:b/>
          <w:bCs/>
          <w:sz w:val="32"/>
          <w:szCs w:val="32"/>
          <w:highlight w:val="none"/>
          <w:shd w:val="clear" w:color="auto" w:fill="FFFFFF"/>
          <w:lang w:bidi="ar"/>
        </w:rPr>
        <w:t>降低建材生产能耗，提升能源利用效能</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eastAsia="zh-CN" w:bidi="ar"/>
        </w:rPr>
        <w:t>生产的樱花岩棉是建筑节能领域不可或缺的A级不燃材料。2022年，樱花岩棉实施了分布式光伏项目，设计安装容量为5.60MW，年平均发电量600万度，相当于每年可节约标煤1968吨，同时每年可减少多种大气污染物的排放，其中二氧化硫减排约180吨，二氧化碳减排5982吨，氮氧化物减排90吨，粉尘减排1632吨。目前，岩棉公司大丰基地光伏发电项目已实现并网发电，被纳入上海市碳达峰碳中和科技创新成果库。</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楷体_GB2312" w:cs="Times New Roman"/>
          <w:b/>
          <w:bCs/>
          <w:sz w:val="32"/>
          <w:szCs w:val="32"/>
          <w:highlight w:val="none"/>
          <w:shd w:val="clear" w:color="auto" w:fill="FFFFFF"/>
          <w:lang w:bidi="ar"/>
        </w:rPr>
        <w:t>从被动节能到主动造能，光伏玻璃引领行业发展</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eastAsia="zh-CN" w:bidi="ar"/>
        </w:rPr>
        <w:t>创新研发高性价比的BIPV发电玻璃产品。该产品选用了碲化镉薄膜太阳能光伏组件，能根据客户需求对透光率、外观颜色、彩釉、LOW-E膜等规格参数进行定制，将被动节能的幕墙玻璃升级为主动造能的发电玻璃。</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eastAsia="zh-CN" w:bidi="ar"/>
        </w:rPr>
        <w:t>建材集团围绕绿色建材新产品和数字化创新模式，加快新技术、新产品、新材料、新工艺等方面的研发成果转化，提供绿色建筑整体解决方案，为实现碳达峰碳中和目标做出更大贡献。</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上海地产集团</w:t>
      </w:r>
      <w:r>
        <w:rPr>
          <w:rFonts w:hint="eastAsia" w:ascii="Times New Roman" w:hAnsi="Times New Roman" w:eastAsia="仿宋_GB2312"/>
          <w:sz w:val="32"/>
          <w:szCs w:val="32"/>
          <w:highlight w:val="none"/>
          <w:lang w:bidi="ar"/>
        </w:rPr>
        <w:t>）</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eastAsia="zh-CN" w:bidi="ar"/>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临港集团发挥平台优势</w:t>
      </w:r>
      <w:r>
        <w:rPr>
          <w:rFonts w:hint="eastAsia" w:ascii="Times New Roman" w:hAnsi="Times New Roman" w:eastAsia="华文中宋" w:cs="华文中宋"/>
          <w:sz w:val="36"/>
          <w:szCs w:val="36"/>
          <w:highlight w:val="none"/>
          <w:shd w:val="clear" w:color="auto" w:fill="FFFFFF"/>
          <w:lang w:val="en-US" w:eastAsia="zh-CN" w:bidi="ar"/>
        </w:rPr>
        <w:t xml:space="preserve"> </w:t>
      </w:r>
      <w:r>
        <w:rPr>
          <w:rFonts w:hint="eastAsia" w:ascii="Times New Roman" w:hAnsi="Times New Roman" w:eastAsia="华文中宋" w:cs="华文中宋"/>
          <w:sz w:val="36"/>
          <w:szCs w:val="36"/>
          <w:highlight w:val="none"/>
          <w:shd w:val="clear" w:color="auto" w:fill="FFFFFF"/>
          <w:lang w:bidi="ar"/>
        </w:rPr>
        <w:t>助力优化</w:t>
      </w:r>
      <w:r>
        <w:rPr>
          <w:rFonts w:hint="eastAsia" w:ascii="Times New Roman" w:hAnsi="Times New Roman" w:eastAsia="华文中宋" w:cs="华文中宋"/>
          <w:sz w:val="36"/>
          <w:szCs w:val="36"/>
          <w:highlight w:val="none"/>
          <w:shd w:val="clear" w:color="auto" w:fill="FFFFFF"/>
          <w:lang w:eastAsia="zh-CN" w:bidi="ar"/>
        </w:rPr>
        <w:t>上海</w:t>
      </w:r>
      <w:r>
        <w:rPr>
          <w:rFonts w:hint="eastAsia" w:ascii="Times New Roman" w:hAnsi="Times New Roman" w:eastAsia="华文中宋" w:cs="华文中宋"/>
          <w:sz w:val="36"/>
          <w:szCs w:val="36"/>
          <w:highlight w:val="none"/>
          <w:shd w:val="clear" w:color="auto" w:fill="FFFFFF"/>
          <w:lang w:bidi="ar"/>
        </w:rPr>
        <w:t>营商环境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近日，临港集团荣获“上海市优化营商环境工作先进集体”称号。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临港集团发挥连接政企的桥梁优势和集聚资源的平台优势，做好政府服务延伸，推动惠企政策加快落实，及时反映企业发展诉求，推进重大改革和制度创新；强化市场服务集成，打造链接各方服务资源的接入端口，为园区企业提供精准匹配的优质服务；加快专业服务培育，聚焦企业亟需领域，提供物业载体、科创、金融、人才、城市配套等专业服务，构建覆盖企业发展全生命周期的服务体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临港集团为持续优化营商环境，主抓四方面工作：建立分级分类服务体系，为企业发展提供精准化服务，为重点企业、重大项目提供专属服务，为科创企业、专精特新企业提供链式服务；强化疫情期间企业服务保障，推动园区经济快速企稳回升，助力企业加快复工，落实企业帮扶政策；完善园区服务配套，提升企业人才获得感与满意度，做好居住商业配套，完善社会事业配套；打造特色公共服务平台，完善产业服务生态体系，设立特色产业联盟，建设现代服务业功能平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未来，临港集团将持续投入优化营商环境建设工作，在推动对标改革、制度创新、政策落实、企业服务等方面发挥产业园区阵地重要作用，聚势赋能城市高质量发展。（</w:t>
      </w:r>
      <w:r>
        <w:rPr>
          <w:rFonts w:hint="eastAsia" w:ascii="Times New Roman" w:hAnsi="Times New Roman" w:eastAsia="仿宋_GB2312" w:cs="仿宋_GB2312"/>
          <w:sz w:val="32"/>
          <w:szCs w:val="32"/>
          <w:highlight w:val="none"/>
          <w:shd w:val="clear" w:color="auto" w:fill="FFFFFF"/>
          <w:lang w:eastAsia="zh-CN" w:bidi="ar"/>
        </w:rPr>
        <w:t>临港集团</w:t>
      </w:r>
      <w:r>
        <w:rPr>
          <w:rFonts w:hint="eastAsia" w:ascii="Times New Roman" w:hAnsi="Times New Roman" w:eastAsia="仿宋_GB2312" w:cs="仿宋_GB2312"/>
          <w:sz w:val="32"/>
          <w:szCs w:val="32"/>
          <w:highlight w:val="none"/>
          <w:shd w:val="clear" w:color="auto" w:fill="FFFFFF"/>
          <w:lang w:bidi="ar"/>
        </w:rPr>
        <w:t>）</w:t>
      </w:r>
    </w:p>
    <w:p>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highlight w:val="none"/>
        </w:rPr>
      </w:pPr>
      <w:r>
        <w:rPr>
          <w:rFonts w:hint="eastAsia" w:ascii="Times New Roman" w:hAnsi="Times New Roman" w:eastAsia="华文中宋" w:cs="华文中宋"/>
          <w:sz w:val="36"/>
          <w:szCs w:val="36"/>
          <w:highlight w:val="none"/>
          <w:shd w:val="clear" w:color="auto" w:fill="FFFFFF"/>
          <w:lang w:bidi="ar"/>
        </w:rPr>
        <w:t>长三角绿洲智谷·赵巷构建全场景万物互联智慧园区</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val="en-US" w:eastAsia="zh-CN" w:bidi="ar"/>
        </w:rPr>
        <w:t>长三角绿洲智谷·赵巷园区是</w:t>
      </w:r>
      <w:r>
        <w:rPr>
          <w:rFonts w:hint="default" w:ascii="Times New Roman" w:hAnsi="Times New Roman" w:eastAsia="仿宋_GB2312"/>
          <w:sz w:val="32"/>
          <w:szCs w:val="32"/>
          <w:highlight w:val="none"/>
          <w:lang w:val="en-US" w:eastAsia="zh-CN" w:bidi="ar"/>
        </w:rPr>
        <w:t>长三角投资公司在长三角示范区布局的首个特色标杆示范园区</w:t>
      </w:r>
      <w:r>
        <w:rPr>
          <w:rFonts w:hint="eastAsia" w:ascii="Times New Roman" w:hAnsi="Times New Roman" w:eastAsia="仿宋_GB2312"/>
          <w:sz w:val="32"/>
          <w:szCs w:val="32"/>
          <w:highlight w:val="none"/>
          <w:lang w:val="en-US" w:eastAsia="zh-CN" w:bidi="ar"/>
        </w:rPr>
        <w:t>。</w:t>
      </w:r>
      <w:r>
        <w:rPr>
          <w:rFonts w:hint="eastAsia" w:ascii="Times New Roman" w:hAnsi="Times New Roman" w:eastAsia="仿宋_GB2312"/>
          <w:sz w:val="32"/>
          <w:szCs w:val="32"/>
          <w:highlight w:val="none"/>
          <w:lang w:bidi="ar"/>
        </w:rPr>
        <w:t>园区坚持自然、生态、人文、科技、智慧“五位一体”的发展新模式，走好“小而特、小而精、小而优”的特色发展之路，并逐步使该模式成为长三角一体化示范区的“最佳实践”</w:t>
      </w:r>
      <w:r>
        <w:rPr>
          <w:rFonts w:hint="eastAsia" w:ascii="Times New Roman" w:hAnsi="Times New Roman" w:eastAsia="仿宋_GB2312"/>
          <w:sz w:val="32"/>
          <w:szCs w:val="32"/>
          <w:highlight w:val="none"/>
          <w:lang w:eastAsia="zh-CN" w:bidi="ar"/>
        </w:rPr>
        <w:t>。</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同心绘蓝图，建设跑出“加速度”</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长三角绿洲智谷·赵巷6个标段共计约80.5万平方米。</w:t>
      </w:r>
      <w:r>
        <w:rPr>
          <w:rFonts w:hint="eastAsia" w:ascii="Times New Roman" w:hAnsi="Times New Roman" w:eastAsia="仿宋_GB2312"/>
          <w:sz w:val="32"/>
          <w:szCs w:val="32"/>
          <w:highlight w:val="none"/>
          <w:lang w:eastAsia="zh-CN" w:bidi="ar"/>
        </w:rPr>
        <w:t>其中，</w:t>
      </w:r>
      <w:r>
        <w:rPr>
          <w:rFonts w:hint="eastAsia" w:ascii="Times New Roman" w:hAnsi="Times New Roman" w:eastAsia="仿宋_GB2312"/>
          <w:sz w:val="32"/>
          <w:szCs w:val="32"/>
          <w:highlight w:val="none"/>
          <w:lang w:bidi="ar"/>
        </w:rPr>
        <w:t>2个地块实现竣工交付，竣工面积超16万平方米</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4个在建地块，总建筑面积约51万平方米。</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齐心促发展，招商按下“快捷键”</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截至2022年底，园区累计引入企业185家，其中实体企业52家，数字经济领域企业占比72%，包含多家高新技术企业、上市公司、研发总部、拟上市公司及行业领先企业</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行业领域涵盖了智能制造、人工智能、低代码研发、高新材料等重点产业。2022年全年园区完成税收1.84亿元，累计税收超5.6亿元，并成功入选青浦区特色产业园区。</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楷体_GB2312" w:cs="Times New Roman"/>
          <w:b/>
          <w:bCs/>
          <w:sz w:val="32"/>
          <w:szCs w:val="32"/>
          <w:highlight w:val="none"/>
          <w:shd w:val="clear" w:color="auto" w:fill="FFFFFF"/>
          <w:lang w:bidi="ar"/>
        </w:rPr>
        <w:t>一心谋良策，科创拓宽“新赛道”</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eastAsia="zh-CN" w:bidi="ar"/>
        </w:rPr>
        <w:t>汇聚优质企业，打造产业集群凸显战略谋划、政策定力与精准施策。第五届中国国际进口博览会展出期间，公司与赛仕软件签约共建“SAS 长三角人工智能科创中心”，增强了长三角一体化示范区整体科技创新能力。同时园区推动高标准、高质量孵化器载体建设，累计运营孵化器面积达5500平方米，入驻企业达21家，综合入驻率超60%，示范区特色标杆科创园区初具雏形。</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楷体_GB2312" w:cs="Times New Roman"/>
          <w:b/>
          <w:bCs/>
          <w:sz w:val="32"/>
          <w:szCs w:val="32"/>
          <w:highlight w:val="none"/>
          <w:shd w:val="clear" w:color="auto" w:fill="FFFFFF"/>
          <w:lang w:bidi="ar"/>
        </w:rPr>
        <w:t>用心出实招，服务凸显“温暖家”</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eastAsia="zh-CN" w:bidi="ar"/>
        </w:rPr>
        <w:t>“管家式”全流程企业服务，融合绿色、生态、运动概念的公共配套设施，打造钢筋水泥城市里的绿色生态办公环境，是长三角绿洲智谷·赵巷“园区开发+”的主线运营模式。同时，智慧园区建设取得阶段性进展，园区一期智慧运营指挥中心平台建设完成，智能巡检机器人、智能无人清洁船、智能路灯、智能垃圾桶等设施设备实现可视化智能化的管理。</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highlight w:val="none"/>
        </w:rPr>
      </w:pPr>
      <w:r>
        <w:rPr>
          <w:rFonts w:hint="eastAsia" w:ascii="Times New Roman" w:hAnsi="Times New Roman" w:eastAsia="仿宋_GB2312"/>
          <w:sz w:val="32"/>
          <w:szCs w:val="32"/>
          <w:highlight w:val="none"/>
          <w:lang w:eastAsia="zh-CN" w:bidi="ar"/>
        </w:rPr>
        <w:t>随着项目建设逐步收尾，长三角绿洲智谷·赵巷园区将进一步探索打造高科技产业与街区相互沉浸的物理环境和活力街区，构建全场景万物互联的智慧园区。</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长三角投资公司</w:t>
      </w:r>
      <w:r>
        <w:rPr>
          <w:rFonts w:hint="eastAsia" w:ascii="Times New Roman" w:hAnsi="Times New Roman" w:eastAsia="仿宋_GB2312"/>
          <w:sz w:val="32"/>
          <w:szCs w:val="32"/>
          <w:highlight w:val="none"/>
          <w:lang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方正舒体">
    <w:altName w:val="仿宋字体"/>
    <w:panose1 w:val="02010601030101010101"/>
    <w:charset w:val="86"/>
    <w:family w:val="auto"/>
    <w:pitch w:val="default"/>
    <w:sig w:usb0="00000000" w:usb1="0000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行楷">
    <w:altName w:val="汉仪行楷简"/>
    <w:panose1 w:val="02010800040101010101"/>
    <w:charset w:val="86"/>
    <w:family w:val="auto"/>
    <w:pitch w:val="default"/>
    <w:sig w:usb0="00000000" w:usb1="00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42621"/>
    <w:rsid w:val="1B1F09DB"/>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C7E62"/>
    <w:rsid w:val="4081373D"/>
    <w:rsid w:val="40996ECE"/>
    <w:rsid w:val="409C1FA4"/>
    <w:rsid w:val="40A50042"/>
    <w:rsid w:val="40AB0CCB"/>
    <w:rsid w:val="40D95004"/>
    <w:rsid w:val="40F73B40"/>
    <w:rsid w:val="410417E6"/>
    <w:rsid w:val="410C42C2"/>
    <w:rsid w:val="411211BD"/>
    <w:rsid w:val="412D70DB"/>
    <w:rsid w:val="412F607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D669E"/>
    <w:rsid w:val="448F7185"/>
    <w:rsid w:val="449776B0"/>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3009C"/>
    <w:rsid w:val="75DFD2B6"/>
    <w:rsid w:val="75E914E0"/>
    <w:rsid w:val="75F91781"/>
    <w:rsid w:val="75F9F003"/>
    <w:rsid w:val="75FD1071"/>
    <w:rsid w:val="75FD2CE7"/>
    <w:rsid w:val="75FD8C3E"/>
    <w:rsid w:val="75FECA87"/>
    <w:rsid w:val="75FF1DDF"/>
    <w:rsid w:val="75FF4D97"/>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4658</Words>
  <Characters>4791</Characters>
  <Lines>35</Lines>
  <Paragraphs>10</Paragraphs>
  <TotalTime>14</TotalTime>
  <ScaleCrop>false</ScaleCrop>
  <LinksUpToDate>false</LinksUpToDate>
  <CharactersWithSpaces>13788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2022-12-28T09:47:00Z</dcterms:created>
  <dc:creator>user</dc:creator>
  <cp:lastModifiedBy>user</cp:lastModifiedBy>
  <cp:lastPrinted>2023-02-04T01:11:00Z</cp:lastPrinted>
  <dcterms:modified xsi:type="dcterms:W3CDTF">2023-02-06T17:21:07Z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8F21C1CF88C56D8E92DD7E63CCB44E35</vt:lpwstr>
  </property>
</Properties>
</file>