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right="-101" w:rightChars="-42"/>
        <w:jc w:val="center"/>
        <w:textAlignment w:val="auto"/>
        <w:rPr>
          <w:rFonts w:ascii="Monotype Corsiva" w:hAnsi="Monotype Corsiva" w:eastAsia="方正舒体"/>
          <w:b/>
          <w:sz w:val="36"/>
          <w:szCs w:val="36"/>
          <w:highlight w:val="none"/>
        </w:rPr>
      </w:pPr>
      <w:r>
        <w:rPr>
          <w:rFonts w:hint="eastAsia" w:ascii="华文行楷" w:eastAsia="华文行楷"/>
          <w:color w:val="FF0000"/>
          <w:spacing w:val="-60"/>
          <w:sz w:val="180"/>
          <w:szCs w:val="180"/>
          <w:highlight w:val="none"/>
        </w:rPr>
        <w:t>上海国资</w:t>
      </w:r>
    </w:p>
    <w:p>
      <w:pPr>
        <w:widowControl w:val="0"/>
        <w:spacing w:line="480" w:lineRule="exact"/>
        <w:ind w:right="-101" w:rightChars="-42"/>
        <w:jc w:val="center"/>
        <w:rPr>
          <w:b/>
          <w:color w:val="auto"/>
          <w:sz w:val="32"/>
          <w:highlight w:val="none"/>
        </w:rPr>
      </w:pPr>
      <w:r>
        <w:rPr>
          <w:rFonts w:hint="eastAsia"/>
          <w:b/>
          <w:color w:val="auto"/>
          <w:sz w:val="32"/>
          <w:highlight w:val="none"/>
        </w:rPr>
        <w:t>第</w:t>
      </w:r>
      <w:r>
        <w:rPr>
          <w:rFonts w:hint="eastAsia"/>
          <w:b/>
          <w:color w:val="auto"/>
          <w:sz w:val="32"/>
          <w:highlight w:val="none"/>
          <w:lang w:val="en-US" w:eastAsia="zh-CN"/>
        </w:rPr>
        <w:t>24</w:t>
      </w:r>
      <w:r>
        <w:rPr>
          <w:rFonts w:hint="eastAsia"/>
          <w:b/>
          <w:color w:val="auto"/>
          <w:sz w:val="32"/>
          <w:highlight w:val="none"/>
        </w:rPr>
        <w:t>期</w:t>
      </w:r>
    </w:p>
    <w:p>
      <w:pPr>
        <w:widowControl w:val="0"/>
        <w:spacing w:line="480" w:lineRule="exact"/>
        <w:ind w:right="-101" w:rightChars="-42"/>
        <w:jc w:val="center"/>
        <w:rPr>
          <w:b/>
          <w:color w:val="auto"/>
          <w:sz w:val="32"/>
          <w:highlight w:val="none"/>
        </w:rPr>
      </w:pPr>
    </w:p>
    <w:p>
      <w:pPr>
        <w:widowControl w:val="0"/>
        <w:spacing w:line="360" w:lineRule="exact"/>
        <w:ind w:right="-101" w:rightChars="-42"/>
        <w:rPr>
          <w:rFonts w:ascii="楷体_GB2312" w:eastAsia="楷体_GB2312"/>
          <w:b/>
          <w:color w:val="auto"/>
          <w:spacing w:val="-14"/>
          <w:sz w:val="32"/>
          <w:highlight w:val="none"/>
        </w:rPr>
      </w:pPr>
      <w:r>
        <w:rPr>
          <w:rFonts w:hint="eastAsia" w:ascii="楷体_GB2312" w:eastAsia="楷体_GB2312"/>
          <w:color w:val="auto"/>
          <w:spacing w:val="1"/>
          <w:w w:val="94"/>
          <w:kern w:val="0"/>
          <w:sz w:val="28"/>
          <w:highlight w:val="none"/>
          <w:fitText w:val="5040" w:id="0"/>
        </w:rPr>
        <w:t>上海市国有资产监督管理委员会党委办公</w:t>
      </w:r>
      <w:r>
        <w:rPr>
          <w:rFonts w:hint="eastAsia" w:ascii="楷体_GB2312" w:eastAsia="楷体_GB2312"/>
          <w:color w:val="auto"/>
          <w:spacing w:val="19"/>
          <w:w w:val="94"/>
          <w:kern w:val="0"/>
          <w:sz w:val="28"/>
          <w:highlight w:val="none"/>
          <w:fitText w:val="5040" w:id="0"/>
        </w:rPr>
        <w:t>室</w:t>
      </w:r>
    </w:p>
    <w:p>
      <w:pPr>
        <w:widowControl w:val="0"/>
        <w:spacing w:line="360" w:lineRule="exact"/>
        <w:ind w:right="-101" w:rightChars="-42"/>
        <w:rPr>
          <w:rFonts w:hint="eastAsia" w:ascii="楷体_GB2312" w:eastAsia="楷体_GB2312"/>
          <w:color w:val="auto"/>
          <w:spacing w:val="-14"/>
          <w:sz w:val="28"/>
          <w:highlight w:val="none"/>
          <w:u w:val="single" w:color="FF0000"/>
        </w:rPr>
      </w:pPr>
      <w:r>
        <w:rPr>
          <w:rFonts w:hint="eastAsia" w:ascii="楷体_GB2312" w:eastAsia="楷体_GB2312"/>
          <w:color w:val="auto"/>
          <w:spacing w:val="9"/>
          <w:kern w:val="0"/>
          <w:sz w:val="28"/>
          <w:highlight w:val="none"/>
          <w:u w:val="single" w:color="FF0000"/>
          <w:fitText w:val="5068" w:id="1"/>
        </w:rPr>
        <w:t>上海市国有资产监督管理委员会办公</w:t>
      </w:r>
      <w:r>
        <w:rPr>
          <w:rFonts w:hint="eastAsia" w:ascii="楷体_GB2312" w:eastAsia="楷体_GB2312"/>
          <w:color w:val="auto"/>
          <w:spacing w:val="10"/>
          <w:kern w:val="0"/>
          <w:sz w:val="28"/>
          <w:highlight w:val="none"/>
          <w:u w:val="single" w:color="FF0000"/>
          <w:fitText w:val="5068" w:id="1"/>
        </w:rPr>
        <w:t>室</w:t>
      </w:r>
      <w:r>
        <w:rPr>
          <w:rFonts w:hint="eastAsia" w:ascii="楷体_GB2312" w:eastAsia="楷体_GB2312"/>
          <w:color w:val="auto"/>
          <w:spacing w:val="-22"/>
          <w:sz w:val="28"/>
          <w:highlight w:val="none"/>
          <w:u w:val="single" w:color="FF0000"/>
        </w:rPr>
        <w:t xml:space="preserve">              </w:t>
      </w:r>
      <w:r>
        <w:rPr>
          <w:rFonts w:ascii="楷体_GB2312" w:eastAsia="楷体_GB2312"/>
          <w:color w:val="auto"/>
          <w:spacing w:val="-14"/>
          <w:sz w:val="28"/>
          <w:highlight w:val="none"/>
          <w:u w:val="single" w:color="FF0000"/>
        </w:rPr>
        <w:t>20</w:t>
      </w:r>
      <w:r>
        <w:rPr>
          <w:rFonts w:hint="eastAsia" w:ascii="楷体_GB2312" w:eastAsia="楷体_GB2312"/>
          <w:color w:val="auto"/>
          <w:spacing w:val="-14"/>
          <w:sz w:val="28"/>
          <w:highlight w:val="none"/>
          <w:u w:val="single" w:color="FF0000"/>
        </w:rPr>
        <w:t>22年</w:t>
      </w:r>
      <w:r>
        <w:rPr>
          <w:rFonts w:hint="eastAsia" w:ascii="楷体_GB2312" w:eastAsia="楷体_GB2312"/>
          <w:color w:val="auto"/>
          <w:spacing w:val="-14"/>
          <w:sz w:val="28"/>
          <w:highlight w:val="none"/>
          <w:u w:val="single" w:color="FF0000"/>
          <w:lang w:val="en-US" w:eastAsia="zh-CN"/>
        </w:rPr>
        <w:t>7</w:t>
      </w:r>
      <w:r>
        <w:rPr>
          <w:rFonts w:hint="eastAsia" w:ascii="楷体_GB2312" w:eastAsia="楷体_GB2312"/>
          <w:color w:val="auto"/>
          <w:spacing w:val="-14"/>
          <w:sz w:val="28"/>
          <w:highlight w:val="none"/>
          <w:u w:val="single" w:color="FF0000"/>
        </w:rPr>
        <w:t>月</w:t>
      </w:r>
      <w:r>
        <w:rPr>
          <w:rFonts w:hint="eastAsia" w:ascii="楷体_GB2312" w:eastAsia="楷体_GB2312"/>
          <w:color w:val="auto"/>
          <w:spacing w:val="-14"/>
          <w:sz w:val="28"/>
          <w:highlight w:val="none"/>
          <w:u w:val="single" w:color="FF0000"/>
          <w:lang w:val="en-US" w:eastAsia="zh-CN"/>
        </w:rPr>
        <w:t>5</w:t>
      </w:r>
      <w:bookmarkStart w:id="0" w:name="_GoBack"/>
      <w:bookmarkEnd w:id="0"/>
      <w:r>
        <w:rPr>
          <w:rFonts w:hint="eastAsia" w:ascii="楷体_GB2312" w:eastAsia="楷体_GB2312"/>
          <w:color w:val="auto"/>
          <w:spacing w:val="-14"/>
          <w:sz w:val="28"/>
          <w:highlight w:val="none"/>
          <w:u w:val="single" w:color="FF0000"/>
        </w:rPr>
        <w:t>日</w:t>
      </w:r>
    </w:p>
    <w:p>
      <w:pPr>
        <w:widowControl w:val="0"/>
        <w:spacing w:line="360" w:lineRule="exact"/>
        <w:ind w:right="-101" w:rightChars="-42"/>
        <w:rPr>
          <w:rFonts w:hint="eastAsia" w:ascii="楷体_GB2312" w:eastAsia="楷体_GB2312"/>
          <w:color w:val="auto"/>
          <w:spacing w:val="-14"/>
          <w:sz w:val="28"/>
          <w:highlight w:val="none"/>
          <w:u w:val="single" w:color="FF0000"/>
          <w:lang w:val="en-US" w:eastAsia="zh-CN"/>
        </w:rPr>
      </w:pPr>
    </w:p>
    <w:p>
      <w:pPr>
        <w:widowControl w:val="0"/>
        <w:numPr>
          <w:ilvl w:val="0"/>
          <w:numId w:val="1"/>
        </w:numPr>
        <w:spacing w:after="156" w:afterLines="50"/>
        <w:ind w:right="-101" w:rightChars="-42"/>
        <w:rPr>
          <w:rFonts w:hint="eastAsia" w:ascii="Times New Roman" w:hAnsi="Times New Roman" w:eastAsia="楷体_GB2312"/>
          <w:b/>
          <w:bCs/>
          <w:color w:val="auto"/>
          <w:sz w:val="32"/>
          <w:szCs w:val="32"/>
          <w:highlight w:val="none"/>
        </w:rPr>
      </w:pPr>
      <w:r>
        <w:rPr>
          <w:rFonts w:hint="eastAsia" w:ascii="Times New Roman" w:hAnsi="Times New Roman" w:eastAsia="楷体_GB2312"/>
          <w:b/>
          <w:bCs/>
          <w:color w:val="auto"/>
          <w:sz w:val="32"/>
          <w:szCs w:val="32"/>
          <w:highlight w:val="none"/>
          <w:lang w:eastAsia="zh-CN"/>
        </w:rPr>
        <w:t>党的建设</w:t>
      </w:r>
    </w:p>
    <w:p>
      <w:pPr>
        <w:keepNext w:val="0"/>
        <w:keepLines w:val="0"/>
        <w:pageBreakBefore w:val="0"/>
        <w:widowControl/>
        <w:kinsoku/>
        <w:wordWrap/>
        <w:overflowPunct/>
        <w:topLinePunct w:val="0"/>
        <w:autoSpaceDE/>
        <w:autoSpaceDN/>
        <w:bidi w:val="0"/>
        <w:adjustRightInd/>
        <w:snapToGrid/>
        <w:spacing w:before="157" w:beforeLines="50"/>
        <w:jc w:val="center"/>
        <w:textAlignment w:val="auto"/>
        <w:rPr>
          <w:rFonts w:hint="eastAsia" w:ascii="Times New Roman" w:hAnsi="Times New Roman" w:eastAsia="华文中宋" w:cs="华文中宋"/>
          <w:kern w:val="0"/>
          <w:sz w:val="36"/>
          <w:szCs w:val="36"/>
          <w:highlight w:val="none"/>
          <w:shd w:val="clear" w:color="auto" w:fill="FFFFFF"/>
          <w:lang w:val="en-US" w:eastAsia="zh-CN" w:bidi="ar-SA"/>
        </w:rPr>
      </w:pPr>
      <w:r>
        <w:rPr>
          <w:rFonts w:hint="eastAsia" w:ascii="Times New Roman" w:hAnsi="Times New Roman" w:eastAsia="华文中宋" w:cs="华文中宋"/>
          <w:kern w:val="0"/>
          <w:sz w:val="36"/>
          <w:szCs w:val="36"/>
          <w:highlight w:val="none"/>
          <w:shd w:val="clear" w:color="auto" w:fill="FFFFFF"/>
          <w:lang w:val="en-US" w:eastAsia="zh-CN" w:bidi="ar-SA"/>
        </w:rPr>
        <w:t>上海市国资委党委中心组传达学习</w:t>
      </w:r>
    </w:p>
    <w:p>
      <w:pPr>
        <w:keepNext w:val="0"/>
        <w:keepLines w:val="0"/>
        <w:pageBreakBefore w:val="0"/>
        <w:widowControl/>
        <w:kinsoku/>
        <w:wordWrap/>
        <w:overflowPunct/>
        <w:topLinePunct w:val="0"/>
        <w:autoSpaceDE/>
        <w:autoSpaceDN/>
        <w:bidi w:val="0"/>
        <w:adjustRightInd/>
        <w:snapToGrid/>
        <w:spacing w:after="157" w:afterLines="50"/>
        <w:jc w:val="center"/>
        <w:textAlignment w:val="auto"/>
        <w:rPr>
          <w:rFonts w:hint="eastAsia" w:ascii="Times New Roman" w:hAnsi="Times New Roman" w:eastAsia="华文中宋" w:cs="华文中宋"/>
          <w:kern w:val="0"/>
          <w:sz w:val="36"/>
          <w:szCs w:val="36"/>
          <w:highlight w:val="none"/>
          <w:shd w:val="clear" w:color="auto" w:fill="FFFFFF"/>
          <w:lang w:val="en-US" w:eastAsia="zh-CN" w:bidi="ar-SA"/>
        </w:rPr>
      </w:pPr>
      <w:r>
        <w:rPr>
          <w:rFonts w:hint="eastAsia" w:ascii="Times New Roman" w:hAnsi="Times New Roman" w:eastAsia="华文中宋" w:cs="华文中宋"/>
          <w:kern w:val="0"/>
          <w:sz w:val="36"/>
          <w:szCs w:val="36"/>
          <w:highlight w:val="none"/>
          <w:shd w:val="clear" w:color="auto" w:fill="FFFFFF"/>
          <w:lang w:val="en-US" w:eastAsia="zh-CN" w:bidi="ar-SA"/>
        </w:rPr>
        <w:t>市第十二次党代表大会精神</w:t>
      </w:r>
    </w:p>
    <w:p>
      <w:pPr>
        <w:autoSpaceDE w:val="0"/>
        <w:autoSpaceDN w:val="0"/>
        <w:adjustRightInd w:val="0"/>
        <w:ind w:firstLine="640" w:firstLineChars="200"/>
        <w:jc w:val="both"/>
        <w:rPr>
          <w:rFonts w:hint="eastAsia" w:ascii="Times New Roman" w:hAnsi="Times New Roman" w:eastAsia="仿宋_GB2312" w:cs="宋体"/>
          <w:kern w:val="0"/>
          <w:sz w:val="32"/>
          <w:szCs w:val="32"/>
          <w:highlight w:val="none"/>
          <w:lang w:val="en-US" w:eastAsia="zh-CN" w:bidi="ar"/>
        </w:rPr>
      </w:pPr>
      <w:r>
        <w:rPr>
          <w:rFonts w:hint="eastAsia" w:ascii="Times New Roman" w:hAnsi="Times New Roman" w:eastAsia="仿宋_GB2312" w:cs="宋体"/>
          <w:kern w:val="0"/>
          <w:sz w:val="32"/>
          <w:szCs w:val="32"/>
          <w:highlight w:val="none"/>
          <w:lang w:val="en-US" w:eastAsia="zh-CN" w:bidi="ar"/>
        </w:rPr>
        <w:t>日前，市国资委党委召开中心组学习（扩大）会传达学习市第十二次党代表大会精神。</w:t>
      </w:r>
    </w:p>
    <w:p>
      <w:pPr>
        <w:autoSpaceDE w:val="0"/>
        <w:autoSpaceDN w:val="0"/>
        <w:adjustRightInd w:val="0"/>
        <w:ind w:firstLine="640" w:firstLineChars="200"/>
        <w:jc w:val="both"/>
        <w:rPr>
          <w:rFonts w:hint="eastAsia" w:ascii="Times New Roman" w:hAnsi="Times New Roman" w:eastAsia="仿宋_GB2312" w:cs="宋体"/>
          <w:kern w:val="0"/>
          <w:sz w:val="32"/>
          <w:szCs w:val="32"/>
          <w:highlight w:val="none"/>
          <w:lang w:val="en-US" w:eastAsia="zh-CN" w:bidi="ar"/>
        </w:rPr>
      </w:pPr>
      <w:r>
        <w:rPr>
          <w:rFonts w:hint="eastAsia" w:ascii="Times New Roman" w:hAnsi="Times New Roman" w:eastAsia="仿宋_GB2312" w:cs="宋体"/>
          <w:kern w:val="0"/>
          <w:sz w:val="32"/>
          <w:szCs w:val="32"/>
          <w:highlight w:val="none"/>
          <w:lang w:val="en-US" w:eastAsia="zh-CN" w:bidi="ar"/>
        </w:rPr>
        <w:t>会议指出，市第十二次党代表大会是上海在加快建设具有世界影响力的社会主义现代化国际大都市的关键时期召开的一次十分重要的大会，是一次求实鼓劲、团结奋进的大会。</w:t>
      </w:r>
      <w:r>
        <w:rPr>
          <w:rFonts w:hint="eastAsia" w:ascii="楷体_GB2312" w:hAnsi="楷体_GB2312" w:eastAsia="楷体_GB2312" w:cs="楷体_GB2312"/>
          <w:b/>
          <w:bCs/>
          <w:kern w:val="0"/>
          <w:sz w:val="32"/>
          <w:szCs w:val="32"/>
          <w:highlight w:val="none"/>
          <w:lang w:val="en-US" w:eastAsia="zh-CN" w:bidi="ar"/>
        </w:rPr>
        <w:t>要加强学习宣传，把思想和行动统一到市委的要求上来。</w:t>
      </w:r>
      <w:r>
        <w:rPr>
          <w:rFonts w:hint="eastAsia" w:ascii="Times New Roman" w:hAnsi="Times New Roman" w:eastAsia="仿宋_GB2312" w:cs="宋体"/>
          <w:kern w:val="0"/>
          <w:sz w:val="32"/>
          <w:szCs w:val="32"/>
          <w:highlight w:val="none"/>
          <w:lang w:val="en-US" w:eastAsia="zh-CN" w:bidi="ar"/>
        </w:rPr>
        <w:t>认真组织传达学习，进一步提升政治站位，坚定政治自觉，强化政治担当。大力营造环境氛围，迅速掀起学习宣传热潮，展示市国资委系统的精神面貌。建立工作落实机制，自觉把国资国企改革发展工作放到全市工作中去定位、思考、谋划和实施。</w:t>
      </w:r>
      <w:r>
        <w:rPr>
          <w:rFonts w:hint="eastAsia" w:ascii="楷体_GB2312" w:hAnsi="楷体_GB2312" w:eastAsia="楷体_GB2312" w:cs="楷体_GB2312"/>
          <w:b/>
          <w:bCs/>
          <w:kern w:val="0"/>
          <w:sz w:val="32"/>
          <w:szCs w:val="32"/>
          <w:highlight w:val="none"/>
          <w:lang w:val="en-US" w:eastAsia="zh-CN" w:bidi="ar"/>
        </w:rPr>
        <w:t>要注重党建引领，从伟大建党精神中汲取强大动力。</w:t>
      </w:r>
      <w:r>
        <w:rPr>
          <w:rFonts w:hint="eastAsia" w:ascii="Times New Roman" w:hAnsi="Times New Roman" w:eastAsia="仿宋_GB2312" w:cs="宋体"/>
          <w:kern w:val="0"/>
          <w:sz w:val="32"/>
          <w:szCs w:val="32"/>
          <w:highlight w:val="none"/>
          <w:lang w:val="en-US" w:eastAsia="zh-CN" w:bidi="ar"/>
        </w:rPr>
        <w:t>加强政治引领，始终站在胸怀“两个大局”、牢记“国之大者”的政治高度，以实际行动诠释对党忠诚。传承红色基因，增强身处党的诞生地的特殊政治自觉和强烈使命担当。加强纪律建设，严守政治纪律和政治规矩，进一步增强思想自觉政治自觉行动自觉。要坚持提质增效，高质量推动国有经济发展。</w:t>
      </w:r>
      <w:r>
        <w:rPr>
          <w:rFonts w:hint="eastAsia" w:ascii="楷体_GB2312" w:hAnsi="楷体_GB2312" w:eastAsia="楷体_GB2312" w:cs="楷体_GB2312"/>
          <w:b/>
          <w:bCs/>
          <w:kern w:val="0"/>
          <w:sz w:val="32"/>
          <w:szCs w:val="32"/>
          <w:highlight w:val="none"/>
          <w:lang w:val="en-US" w:eastAsia="zh-CN" w:bidi="ar"/>
        </w:rPr>
        <w:t>更好利用国际国内两个市场、两种资源，提高服务大局的能力。</w:t>
      </w:r>
      <w:r>
        <w:rPr>
          <w:rFonts w:hint="eastAsia" w:ascii="Times New Roman" w:hAnsi="Times New Roman" w:eastAsia="仿宋_GB2312" w:cs="宋体"/>
          <w:kern w:val="0"/>
          <w:sz w:val="32"/>
          <w:szCs w:val="32"/>
          <w:highlight w:val="none"/>
          <w:lang w:val="en-US" w:eastAsia="zh-CN" w:bidi="ar"/>
        </w:rPr>
        <w:t>进一步做强做优做大国有资本和国有企业，提高优化布局的能力。落实以管资本为主加强国资监管的要求，提高防范风险的能力。</w:t>
      </w:r>
      <w:r>
        <w:rPr>
          <w:rFonts w:hint="eastAsia" w:ascii="楷体_GB2312" w:hAnsi="楷体_GB2312" w:eastAsia="楷体_GB2312" w:cs="楷体_GB2312"/>
          <w:b/>
          <w:bCs/>
          <w:kern w:val="0"/>
          <w:sz w:val="32"/>
          <w:szCs w:val="32"/>
          <w:highlight w:val="none"/>
          <w:lang w:val="en-US" w:eastAsia="zh-CN" w:bidi="ar"/>
        </w:rPr>
        <w:t>要深化改革创新，不断提升国有企业核心竞争力。</w:t>
      </w:r>
      <w:r>
        <w:rPr>
          <w:rFonts w:hint="eastAsia" w:ascii="Times New Roman" w:hAnsi="Times New Roman" w:eastAsia="仿宋_GB2312" w:cs="宋体"/>
          <w:kern w:val="0"/>
          <w:sz w:val="32"/>
          <w:szCs w:val="32"/>
          <w:highlight w:val="none"/>
          <w:lang w:val="en-US" w:eastAsia="zh-CN" w:bidi="ar"/>
        </w:rPr>
        <w:t>聚焦重点，建设世界一流企业，推动改革开放向纵深发展。围绕主业，提高国资创新能级，推动新兴产业积厚成势、传统产业改造升级。把握关键，打造上海国资品牌，充分发挥国有企业在全力打响“四大品牌”中的主力军作用。</w:t>
      </w:r>
    </w:p>
    <w:p>
      <w:pPr>
        <w:autoSpaceDE w:val="0"/>
        <w:autoSpaceDN w:val="0"/>
        <w:adjustRightInd w:val="0"/>
        <w:ind w:firstLine="640" w:firstLineChars="200"/>
        <w:jc w:val="both"/>
        <w:rPr>
          <w:rFonts w:hint="eastAsia" w:ascii="Times New Roman" w:hAnsi="Times New Roman" w:eastAsia="仿宋_GB2312" w:cs="宋体"/>
          <w:kern w:val="0"/>
          <w:sz w:val="32"/>
          <w:szCs w:val="32"/>
          <w:highlight w:val="none"/>
          <w:lang w:val="en-US" w:eastAsia="zh-CN" w:bidi="ar"/>
        </w:rPr>
      </w:pPr>
      <w:r>
        <w:rPr>
          <w:rFonts w:hint="eastAsia" w:ascii="Times New Roman" w:hAnsi="Times New Roman" w:eastAsia="仿宋_GB2312" w:cs="宋体"/>
          <w:kern w:val="0"/>
          <w:sz w:val="32"/>
          <w:szCs w:val="32"/>
          <w:highlight w:val="none"/>
          <w:lang w:val="en-US" w:eastAsia="zh-CN" w:bidi="ar"/>
        </w:rPr>
        <w:t>市国资委党政领导班子成员，市国资委机关处室、中心负责人，驻委纪检监察组相关负责人，团工委负责人等参加了学习。（上海市国资委）</w:t>
      </w:r>
    </w:p>
    <w:p>
      <w:pPr>
        <w:autoSpaceDE w:val="0"/>
        <w:autoSpaceDN w:val="0"/>
        <w:adjustRightInd w:val="0"/>
        <w:ind w:firstLine="640" w:firstLineChars="200"/>
        <w:jc w:val="both"/>
        <w:rPr>
          <w:rFonts w:hint="eastAsia" w:ascii="Times New Roman" w:hAnsi="Times New Roman" w:eastAsia="仿宋_GB2312" w:cs="宋体"/>
          <w:kern w:val="0"/>
          <w:sz w:val="32"/>
          <w:szCs w:val="32"/>
          <w:highlight w:val="none"/>
          <w:lang w:val="en-US" w:eastAsia="zh-CN" w:bidi="ar"/>
        </w:rPr>
      </w:pPr>
    </w:p>
    <w:p>
      <w:pPr>
        <w:widowControl w:val="0"/>
        <w:numPr>
          <w:ilvl w:val="0"/>
          <w:numId w:val="1"/>
        </w:numPr>
        <w:spacing w:after="156" w:afterLines="50"/>
        <w:ind w:right="-101" w:rightChars="-42"/>
        <w:rPr>
          <w:rFonts w:hint="eastAsia" w:ascii="Times New Roman" w:hAnsi="Times New Roman" w:eastAsia="仿宋字体" w:cs="宋体"/>
          <w:kern w:val="0"/>
          <w:sz w:val="32"/>
          <w:szCs w:val="32"/>
          <w:highlight w:val="none"/>
          <w:lang w:val="en-US" w:eastAsia="zh-CN" w:bidi="ar"/>
        </w:rPr>
      </w:pPr>
      <w:r>
        <w:rPr>
          <w:rFonts w:hint="eastAsia" w:ascii="Times New Roman" w:hAnsi="Times New Roman" w:eastAsia="楷体_GB2312"/>
          <w:b/>
          <w:bCs/>
          <w:color w:val="auto"/>
          <w:sz w:val="32"/>
          <w:szCs w:val="32"/>
          <w:highlight w:val="none"/>
        </w:rPr>
        <w:t>金融工作</w:t>
      </w:r>
    </w:p>
    <w:p>
      <w:pPr>
        <w:keepNext w:val="0"/>
        <w:keepLines w:val="0"/>
        <w:pageBreakBefore w:val="0"/>
        <w:widowControl/>
        <w:kinsoku/>
        <w:wordWrap/>
        <w:overflowPunct/>
        <w:topLinePunct w:val="0"/>
        <w:autoSpaceDE/>
        <w:autoSpaceDN/>
        <w:bidi w:val="0"/>
        <w:adjustRightInd/>
        <w:snapToGrid/>
        <w:spacing w:before="157" w:beforeLines="50"/>
        <w:jc w:val="center"/>
        <w:textAlignment w:val="auto"/>
        <w:rPr>
          <w:rFonts w:hint="eastAsia" w:ascii="Times New Roman" w:hAnsi="Times New Roman" w:eastAsia="华文中宋" w:cs="华文中宋"/>
          <w:kern w:val="0"/>
          <w:sz w:val="36"/>
          <w:szCs w:val="36"/>
          <w:highlight w:val="none"/>
          <w:shd w:val="clear" w:color="auto" w:fill="FFFFFF"/>
          <w:lang w:val="en-US" w:eastAsia="zh-CN" w:bidi="ar-SA"/>
        </w:rPr>
      </w:pPr>
      <w:r>
        <w:rPr>
          <w:rFonts w:hint="eastAsia" w:ascii="Times New Roman" w:hAnsi="Times New Roman" w:eastAsia="华文中宋" w:cs="华文中宋"/>
          <w:kern w:val="0"/>
          <w:sz w:val="36"/>
          <w:szCs w:val="36"/>
          <w:highlight w:val="none"/>
          <w:shd w:val="clear" w:color="auto" w:fill="FFFFFF"/>
          <w:lang w:val="en-US" w:eastAsia="zh-CN" w:bidi="ar-SA"/>
        </w:rPr>
        <w:t>上海联交所旗下上海市地方征信平台开业</w:t>
      </w:r>
    </w:p>
    <w:p>
      <w:pPr>
        <w:keepNext w:val="0"/>
        <w:keepLines w:val="0"/>
        <w:pageBreakBefore w:val="0"/>
        <w:widowControl/>
        <w:kinsoku/>
        <w:wordWrap/>
        <w:overflowPunct/>
        <w:topLinePunct w:val="0"/>
        <w:autoSpaceDE/>
        <w:autoSpaceDN/>
        <w:bidi w:val="0"/>
        <w:adjustRightInd/>
        <w:snapToGrid/>
        <w:spacing w:after="157" w:afterLines="50"/>
        <w:jc w:val="center"/>
        <w:textAlignment w:val="auto"/>
        <w:rPr>
          <w:rFonts w:hint="eastAsia" w:ascii="Times New Roman" w:hAnsi="Times New Roman" w:eastAsia="华文中宋" w:cs="华文中宋"/>
          <w:kern w:val="0"/>
          <w:sz w:val="36"/>
          <w:szCs w:val="36"/>
          <w:highlight w:val="none"/>
          <w:shd w:val="clear" w:color="auto" w:fill="FFFFFF"/>
          <w:lang w:val="en-US" w:eastAsia="zh-CN" w:bidi="ar-SA"/>
        </w:rPr>
      </w:pPr>
      <w:r>
        <w:rPr>
          <w:rFonts w:hint="eastAsia" w:ascii="Times New Roman" w:hAnsi="Times New Roman" w:eastAsia="华文中宋" w:cs="华文中宋"/>
          <w:kern w:val="0"/>
          <w:sz w:val="36"/>
          <w:szCs w:val="36"/>
          <w:highlight w:val="none"/>
          <w:shd w:val="clear" w:color="auto" w:fill="FFFFFF"/>
          <w:lang w:val="en-US" w:eastAsia="zh-CN" w:bidi="ar-SA"/>
        </w:rPr>
        <w:t>国际金融中心再添基础设施</w:t>
      </w:r>
    </w:p>
    <w:p>
      <w:pPr>
        <w:autoSpaceDE w:val="0"/>
        <w:autoSpaceDN w:val="0"/>
        <w:adjustRightInd w:val="0"/>
        <w:ind w:firstLine="640" w:firstLineChars="200"/>
        <w:jc w:val="both"/>
        <w:rPr>
          <w:rFonts w:hint="eastAsia" w:ascii="Times New Roman" w:hAnsi="Times New Roman" w:eastAsia="仿宋_GB2312" w:cs="宋体"/>
          <w:kern w:val="0"/>
          <w:sz w:val="32"/>
          <w:szCs w:val="32"/>
          <w:highlight w:val="none"/>
          <w:lang w:val="en-US" w:eastAsia="zh-CN" w:bidi="ar"/>
        </w:rPr>
      </w:pPr>
      <w:r>
        <w:rPr>
          <w:rFonts w:hint="eastAsia" w:ascii="Times New Roman" w:hAnsi="Times New Roman" w:eastAsia="仿宋_GB2312" w:cs="宋体"/>
          <w:kern w:val="0"/>
          <w:sz w:val="32"/>
          <w:szCs w:val="32"/>
          <w:highlight w:val="none"/>
          <w:lang w:val="en-US" w:eastAsia="zh-CN" w:bidi="ar"/>
        </w:rPr>
        <w:t>近日，上海联交所旗下上海市地方征信平台正式开业，上海国际金融中心再添基础设施。</w:t>
      </w:r>
    </w:p>
    <w:p>
      <w:pPr>
        <w:autoSpaceDE w:val="0"/>
        <w:autoSpaceDN w:val="0"/>
        <w:adjustRightInd w:val="0"/>
        <w:ind w:firstLine="640" w:firstLineChars="200"/>
        <w:jc w:val="both"/>
        <w:rPr>
          <w:rFonts w:hint="eastAsia" w:ascii="Times New Roman" w:hAnsi="Times New Roman" w:eastAsia="仿宋_GB2312" w:cs="宋体"/>
          <w:kern w:val="0"/>
          <w:sz w:val="32"/>
          <w:szCs w:val="32"/>
          <w:highlight w:val="none"/>
          <w:lang w:val="en-US" w:eastAsia="zh-CN" w:bidi="ar"/>
        </w:rPr>
      </w:pPr>
      <w:r>
        <w:rPr>
          <w:rFonts w:hint="eastAsia" w:ascii="Times New Roman" w:hAnsi="Times New Roman" w:eastAsia="仿宋_GB2312" w:cs="宋体"/>
          <w:kern w:val="0"/>
          <w:sz w:val="32"/>
          <w:szCs w:val="32"/>
          <w:highlight w:val="none"/>
          <w:lang w:val="en-US" w:eastAsia="zh-CN" w:bidi="ar"/>
        </w:rPr>
        <w:t>作为上海市目前唯一一家市级国有征信机构，市联合征信公司承担着融合地方公共信用信息、金融信贷信息以及市场信用信息的核心任务，旨在推动涉企信息在不同部门和不同地域间依法共享和互联互通，是金融支持中小微企业、服务实体经济发展的重要平台，也是上海城市数字化转型的重要载体、国际金融中心的重要基础设施、社会信用体系建设的重要组成部分。</w:t>
      </w:r>
    </w:p>
    <w:p>
      <w:pPr>
        <w:autoSpaceDE w:val="0"/>
        <w:autoSpaceDN w:val="0"/>
        <w:adjustRightInd w:val="0"/>
        <w:ind w:firstLine="640" w:firstLineChars="200"/>
        <w:jc w:val="both"/>
        <w:rPr>
          <w:rFonts w:hint="eastAsia" w:ascii="Times New Roman" w:hAnsi="Times New Roman" w:eastAsia="仿宋_GB2312" w:cs="宋体"/>
          <w:kern w:val="0"/>
          <w:sz w:val="32"/>
          <w:szCs w:val="32"/>
          <w:highlight w:val="none"/>
          <w:lang w:val="en-US" w:eastAsia="zh-CN" w:bidi="ar"/>
        </w:rPr>
      </w:pPr>
      <w:r>
        <w:rPr>
          <w:rFonts w:hint="eastAsia" w:ascii="Times New Roman" w:hAnsi="Times New Roman" w:eastAsia="仿宋_GB2312" w:cs="宋体"/>
          <w:kern w:val="0"/>
          <w:sz w:val="32"/>
          <w:szCs w:val="32"/>
          <w:highlight w:val="none"/>
          <w:lang w:val="en-US" w:eastAsia="zh-CN" w:bidi="ar"/>
        </w:rPr>
        <w:t>市联合征信公司还打造了信用服务基础设施——“沪信融”上海企业投融资智慧服务平台。平台围绕金融机构获客筛选、企业融资需求精准匹配、贷前审查、贷中审批、贷后管理和政府部门融资奖补政策落地增效等需求，面向中小微企业和新型农业经营主体，提供融资申请、信息查询、征信报告查询、信用评价、融资担保、融资需求智能撮合、政策扶持等环节的一站式综合金融服务。</w:t>
      </w:r>
    </w:p>
    <w:p>
      <w:pPr>
        <w:autoSpaceDE w:val="0"/>
        <w:autoSpaceDN w:val="0"/>
        <w:adjustRightInd w:val="0"/>
        <w:ind w:firstLine="640" w:firstLineChars="200"/>
        <w:jc w:val="both"/>
        <w:rPr>
          <w:rFonts w:hint="eastAsia" w:ascii="Times New Roman" w:hAnsi="Times New Roman" w:eastAsia="仿宋_GB2312" w:cs="宋体"/>
          <w:kern w:val="0"/>
          <w:sz w:val="32"/>
          <w:szCs w:val="32"/>
          <w:highlight w:val="none"/>
          <w:lang w:val="en-US" w:eastAsia="zh-CN" w:bidi="ar"/>
        </w:rPr>
      </w:pPr>
      <w:r>
        <w:rPr>
          <w:rFonts w:hint="eastAsia" w:ascii="Times New Roman" w:hAnsi="Times New Roman" w:eastAsia="仿宋_GB2312" w:cs="宋体"/>
          <w:kern w:val="0"/>
          <w:sz w:val="32"/>
          <w:szCs w:val="32"/>
          <w:highlight w:val="none"/>
          <w:lang w:val="en-US" w:eastAsia="zh-CN" w:bidi="ar"/>
        </w:rPr>
        <w:t>平台在疫情期间进行了试运营，截至目前，共上架了19家银行共93款金融产品，先后服务了66户中小企业，其中7家为首贷企业，促成企业获得融资共计5.85亿元，其中中小企业信用贷款超过2亿元。</w:t>
      </w:r>
    </w:p>
    <w:p>
      <w:pPr>
        <w:autoSpaceDE w:val="0"/>
        <w:autoSpaceDN w:val="0"/>
        <w:adjustRightInd w:val="0"/>
        <w:ind w:firstLine="640" w:firstLineChars="200"/>
        <w:jc w:val="both"/>
        <w:rPr>
          <w:rFonts w:hint="eastAsia" w:ascii="Times New Roman" w:hAnsi="Times New Roman" w:eastAsia="仿宋_GB2312" w:cs="宋体"/>
          <w:kern w:val="0"/>
          <w:sz w:val="32"/>
          <w:szCs w:val="32"/>
          <w:highlight w:val="none"/>
          <w:lang w:val="en-US" w:eastAsia="zh-CN" w:bidi="ar"/>
        </w:rPr>
      </w:pPr>
      <w:r>
        <w:rPr>
          <w:rFonts w:hint="eastAsia" w:ascii="Times New Roman" w:hAnsi="Times New Roman" w:eastAsia="仿宋_GB2312" w:cs="宋体"/>
          <w:kern w:val="0"/>
          <w:sz w:val="32"/>
          <w:szCs w:val="32"/>
          <w:highlight w:val="none"/>
          <w:lang w:val="en-US" w:eastAsia="zh-CN" w:bidi="ar"/>
        </w:rPr>
        <w:t>市联合征信公司将积极服务企业、金融机构和政府部门，打造征信报告、“沪信融”平台、数据服务和项目定制开发四类产品，加强数据、运营、品牌、合规、安全五大体系能力建设，助力破解中小微企业和新型农业经营主体融资难、融资贵问题。（上海联交所）</w:t>
      </w:r>
    </w:p>
    <w:p>
      <w:pPr>
        <w:autoSpaceDE w:val="0"/>
        <w:autoSpaceDN w:val="0"/>
        <w:adjustRightInd w:val="0"/>
        <w:ind w:firstLine="640" w:firstLineChars="200"/>
        <w:jc w:val="both"/>
        <w:rPr>
          <w:rFonts w:hint="eastAsia" w:ascii="Times New Roman" w:hAnsi="Times New Roman" w:eastAsia="仿宋_GB2312" w:cs="宋体"/>
          <w:kern w:val="0"/>
          <w:sz w:val="32"/>
          <w:szCs w:val="32"/>
          <w:highlight w:val="none"/>
          <w:lang w:val="en-US" w:eastAsia="zh-CN" w:bidi="ar"/>
        </w:rPr>
      </w:pPr>
    </w:p>
    <w:p>
      <w:pPr>
        <w:keepNext w:val="0"/>
        <w:keepLines w:val="0"/>
        <w:pageBreakBefore w:val="0"/>
        <w:widowControl/>
        <w:kinsoku/>
        <w:wordWrap/>
        <w:overflowPunct/>
        <w:topLinePunct w:val="0"/>
        <w:autoSpaceDE/>
        <w:autoSpaceDN/>
        <w:bidi w:val="0"/>
        <w:adjustRightInd/>
        <w:snapToGrid/>
        <w:spacing w:before="157" w:beforeLines="50" w:after="157" w:afterLines="50"/>
        <w:jc w:val="center"/>
        <w:textAlignment w:val="auto"/>
        <w:rPr>
          <w:rFonts w:hint="eastAsia" w:ascii="Times New Roman" w:hAnsi="Times New Roman" w:eastAsia="华文中宋" w:cs="华文中宋"/>
          <w:kern w:val="0"/>
          <w:sz w:val="36"/>
          <w:szCs w:val="36"/>
          <w:highlight w:val="none"/>
          <w:shd w:val="clear" w:color="auto" w:fill="FFFFFF"/>
          <w:lang w:val="en-US" w:eastAsia="zh-CN" w:bidi="ar-SA"/>
        </w:rPr>
      </w:pPr>
      <w:r>
        <w:rPr>
          <w:rFonts w:hint="eastAsia" w:ascii="Times New Roman" w:hAnsi="Times New Roman" w:eastAsia="华文中宋" w:cs="华文中宋"/>
          <w:kern w:val="0"/>
          <w:sz w:val="36"/>
          <w:szCs w:val="36"/>
          <w:highlight w:val="none"/>
          <w:shd w:val="clear" w:color="auto" w:fill="FFFFFF"/>
          <w:lang w:val="en-US" w:eastAsia="zh-CN" w:bidi="ar-SA"/>
        </w:rPr>
        <w:t>中国太保落地全国首单单株林木碳汇保险</w:t>
      </w:r>
    </w:p>
    <w:p>
      <w:pPr>
        <w:autoSpaceDE w:val="0"/>
        <w:autoSpaceDN w:val="0"/>
        <w:adjustRightInd w:val="0"/>
        <w:ind w:firstLine="640" w:firstLineChars="200"/>
        <w:jc w:val="both"/>
        <w:rPr>
          <w:rFonts w:hint="eastAsia" w:ascii="Times New Roman" w:hAnsi="Times New Roman" w:eastAsia="仿宋_GB2312" w:cs="宋体"/>
          <w:kern w:val="0"/>
          <w:sz w:val="32"/>
          <w:szCs w:val="32"/>
          <w:highlight w:val="none"/>
          <w:lang w:val="en-US" w:eastAsia="zh-CN" w:bidi="ar"/>
        </w:rPr>
      </w:pPr>
      <w:r>
        <w:rPr>
          <w:rFonts w:hint="eastAsia" w:ascii="Times New Roman" w:hAnsi="Times New Roman" w:eastAsia="仿宋_GB2312" w:cs="宋体"/>
          <w:kern w:val="0"/>
          <w:sz w:val="32"/>
          <w:szCs w:val="32"/>
          <w:highlight w:val="none"/>
          <w:lang w:val="en-US" w:eastAsia="zh-CN" w:bidi="ar"/>
        </w:rPr>
        <w:t>近日，中国太保旗下中国太保产险广西分公司签发了全国首单单株林木碳汇保险，为柳州市乡村振兴碳汇项目提供保障。该保险将林木的碳汇富余价值做为保险标的，创新之处在于针对碳汇计量使用的单株林木碳汇量计量方法学，是“碳普惠”理念的又一次实践。</w:t>
      </w:r>
    </w:p>
    <w:p>
      <w:pPr>
        <w:autoSpaceDE w:val="0"/>
        <w:autoSpaceDN w:val="0"/>
        <w:adjustRightInd w:val="0"/>
        <w:ind w:firstLine="640" w:firstLineChars="200"/>
        <w:jc w:val="both"/>
        <w:rPr>
          <w:rFonts w:hint="eastAsia" w:ascii="Times New Roman" w:hAnsi="Times New Roman" w:eastAsia="仿宋_GB2312" w:cs="宋体"/>
          <w:kern w:val="0"/>
          <w:sz w:val="32"/>
          <w:szCs w:val="32"/>
          <w:highlight w:val="none"/>
          <w:lang w:val="en-US" w:eastAsia="zh-CN" w:bidi="ar"/>
        </w:rPr>
      </w:pPr>
      <w:r>
        <w:rPr>
          <w:rFonts w:hint="eastAsia" w:ascii="Times New Roman" w:hAnsi="Times New Roman" w:eastAsia="仿宋_GB2312" w:cs="宋体"/>
          <w:kern w:val="0"/>
          <w:sz w:val="32"/>
          <w:szCs w:val="32"/>
          <w:highlight w:val="none"/>
          <w:lang w:val="en-US" w:eastAsia="zh-CN" w:bidi="ar"/>
        </w:rPr>
        <w:t>柳州乡村振兴碳汇项目作为柳州碳汇特色公益项目，依托国家“双碳”政策，通过林木碳汇价值的实现，助力乡村振兴，防止易贫人员返贫。该项目2022年预计完成4个县5个村约380户林户的单株林木碳汇开发，开发碳汇树木26万株。中国太保产险创新研发广西壮族自治区商业性单株林木碳汇保险对该项目进行承保，该保险针对暴雨等自然灾害、林业的有害生物、野生动物损毁三类情况导致的林木碳汇损失提供保障，当事故发生后，按照保险合同约定赔付单株林木的碳汇富余价值。中国太保产险创新研发的单株碳汇保险，是保险行业在“碳普惠+乡村振兴”方面一次有意义的探索。通过该项目的建设，可以为当地林户带来生态碳汇的额外长期收益，通过碳汇项目生态产品经济价值的实现，防范了林户的返贫，同时实现了柳州市区域碳汇能力的提升。</w:t>
      </w:r>
    </w:p>
    <w:p>
      <w:pPr>
        <w:autoSpaceDE w:val="0"/>
        <w:autoSpaceDN w:val="0"/>
        <w:adjustRightInd w:val="0"/>
        <w:ind w:firstLine="640" w:firstLineChars="200"/>
        <w:jc w:val="both"/>
        <w:rPr>
          <w:rFonts w:hint="eastAsia" w:ascii="Times New Roman" w:hAnsi="Times New Roman" w:eastAsia="仿宋_GB2312" w:cs="宋体"/>
          <w:kern w:val="0"/>
          <w:sz w:val="32"/>
          <w:szCs w:val="32"/>
          <w:highlight w:val="none"/>
          <w:lang w:val="en-US" w:eastAsia="zh-CN" w:bidi="ar"/>
        </w:rPr>
      </w:pPr>
      <w:r>
        <w:rPr>
          <w:rFonts w:hint="eastAsia" w:ascii="Times New Roman" w:hAnsi="Times New Roman" w:eastAsia="仿宋_GB2312" w:cs="宋体"/>
          <w:kern w:val="0"/>
          <w:sz w:val="32"/>
          <w:szCs w:val="32"/>
          <w:highlight w:val="none"/>
          <w:lang w:val="en-US" w:eastAsia="zh-CN" w:bidi="ar"/>
        </w:rPr>
        <w:t>近年来，中国太保加快推动ESG（环境、社会和公司治理）理念融入负债端、投资端以及自身运营端等多个维度，发挥主业优势，在保护生物多样性、能源科技创新、传统行业低碳转型、应对气候变化、环境治理等领域加大保险产品和服务创新力度，助力国家双碳目标实现。（中国太保）</w:t>
      </w:r>
    </w:p>
    <w:p>
      <w:pPr>
        <w:autoSpaceDE w:val="0"/>
        <w:autoSpaceDN w:val="0"/>
        <w:adjustRightInd w:val="0"/>
        <w:ind w:firstLine="640" w:firstLineChars="200"/>
        <w:jc w:val="both"/>
        <w:rPr>
          <w:rFonts w:hint="eastAsia" w:ascii="Times New Roman" w:hAnsi="Times New Roman" w:eastAsia="仿宋字体" w:cs="宋体"/>
          <w:kern w:val="0"/>
          <w:sz w:val="32"/>
          <w:szCs w:val="32"/>
          <w:highlight w:val="none"/>
          <w:lang w:val="en-US" w:eastAsia="zh-CN" w:bidi="ar"/>
        </w:rPr>
      </w:pPr>
    </w:p>
    <w:p>
      <w:pPr>
        <w:keepNext w:val="0"/>
        <w:keepLines w:val="0"/>
        <w:pageBreakBefore w:val="0"/>
        <w:widowControl/>
        <w:kinsoku/>
        <w:wordWrap/>
        <w:overflowPunct/>
        <w:topLinePunct w:val="0"/>
        <w:autoSpaceDE/>
        <w:autoSpaceDN/>
        <w:bidi w:val="0"/>
        <w:adjustRightInd/>
        <w:snapToGrid/>
        <w:spacing w:before="157" w:beforeLines="50" w:after="157" w:afterLines="50"/>
        <w:jc w:val="center"/>
        <w:textAlignment w:val="auto"/>
        <w:rPr>
          <w:rFonts w:hint="eastAsia" w:ascii="Times New Roman" w:hAnsi="Times New Roman" w:eastAsia="华文中宋" w:cs="华文中宋"/>
          <w:kern w:val="0"/>
          <w:sz w:val="36"/>
          <w:szCs w:val="36"/>
          <w:highlight w:val="none"/>
          <w:shd w:val="clear" w:color="auto" w:fill="FFFFFF"/>
          <w:lang w:val="en-US" w:eastAsia="zh-CN" w:bidi="ar-SA"/>
        </w:rPr>
      </w:pPr>
      <w:r>
        <w:rPr>
          <w:rFonts w:hint="eastAsia" w:ascii="Times New Roman" w:hAnsi="Times New Roman" w:eastAsia="华文中宋" w:cs="华文中宋"/>
          <w:kern w:val="0"/>
          <w:sz w:val="36"/>
          <w:szCs w:val="36"/>
          <w:highlight w:val="none"/>
          <w:shd w:val="clear" w:color="auto" w:fill="FFFFFF"/>
          <w:lang w:val="en-US" w:eastAsia="zh-CN" w:bidi="ar-SA"/>
        </w:rPr>
        <w:t>浦发硅谷银行“新一代”上线 数字化赋能科创企业</w:t>
      </w:r>
    </w:p>
    <w:p>
      <w:pPr>
        <w:autoSpaceDE w:val="0"/>
        <w:autoSpaceDN w:val="0"/>
        <w:adjustRightInd w:val="0"/>
        <w:ind w:firstLine="640" w:firstLineChars="200"/>
        <w:jc w:val="both"/>
        <w:rPr>
          <w:rFonts w:hint="eastAsia" w:ascii="Times New Roman" w:hAnsi="Times New Roman" w:eastAsia="仿宋_GB2312" w:cs="宋体"/>
          <w:kern w:val="0"/>
          <w:sz w:val="32"/>
          <w:szCs w:val="32"/>
          <w:highlight w:val="none"/>
          <w:lang w:val="en-US" w:eastAsia="zh-CN" w:bidi="ar"/>
        </w:rPr>
      </w:pPr>
      <w:r>
        <w:rPr>
          <w:rFonts w:hint="eastAsia" w:ascii="Times New Roman" w:hAnsi="Times New Roman" w:eastAsia="仿宋_GB2312" w:cs="宋体"/>
          <w:kern w:val="0"/>
          <w:sz w:val="32"/>
          <w:szCs w:val="32"/>
          <w:highlight w:val="none"/>
          <w:lang w:val="en-US" w:eastAsia="zh-CN" w:bidi="ar"/>
        </w:rPr>
        <w:t>日前，浦发硅谷银行“新一代”业务能力数字化转型工程（下称“新一代”）全新上线。“新一代”于2021年初正式启动落地实施，该工程历时26个月，参与建设人员300多人，实施路线图包含六大项目群，新建、重构、配套改造信息系统近50个。</w:t>
      </w:r>
    </w:p>
    <w:p>
      <w:pPr>
        <w:autoSpaceDE w:val="0"/>
        <w:autoSpaceDN w:val="0"/>
        <w:adjustRightInd w:val="0"/>
        <w:ind w:firstLine="643" w:firstLineChars="200"/>
        <w:jc w:val="both"/>
        <w:rPr>
          <w:rFonts w:hint="eastAsia" w:ascii="Times New Roman" w:hAnsi="Times New Roman" w:eastAsia="仿宋_GB2312" w:cs="宋体"/>
          <w:kern w:val="0"/>
          <w:sz w:val="32"/>
          <w:szCs w:val="32"/>
          <w:highlight w:val="none"/>
          <w:lang w:val="en-US" w:eastAsia="zh-CN" w:bidi="ar"/>
        </w:rPr>
      </w:pPr>
      <w:r>
        <w:rPr>
          <w:rFonts w:hint="eastAsia" w:ascii="楷体_GB2312" w:hAnsi="楷体_GB2312" w:eastAsia="楷体_GB2312" w:cs="楷体_GB2312"/>
          <w:b/>
          <w:bCs/>
          <w:kern w:val="0"/>
          <w:sz w:val="32"/>
          <w:szCs w:val="32"/>
          <w:highlight w:val="none"/>
          <w:lang w:val="en-US" w:eastAsia="zh-CN" w:bidi="ar"/>
        </w:rPr>
        <w:t>对客服务提升。</w:t>
      </w:r>
      <w:r>
        <w:rPr>
          <w:rFonts w:hint="eastAsia" w:ascii="Times New Roman" w:hAnsi="Times New Roman" w:eastAsia="仿宋_GB2312" w:cs="宋体"/>
          <w:kern w:val="0"/>
          <w:sz w:val="32"/>
          <w:szCs w:val="32"/>
          <w:highlight w:val="none"/>
          <w:lang w:val="en-US" w:eastAsia="zh-CN" w:bidi="ar"/>
        </w:rPr>
        <w:t>实施对公业务的开放银行战略，规划并建设渠道中台，统一手机银行、网银等电子渠道客户体验，实现企业跨境资金安全高效流动，集聚科级创新资金资源。</w:t>
      </w:r>
    </w:p>
    <w:p>
      <w:pPr>
        <w:autoSpaceDE w:val="0"/>
        <w:autoSpaceDN w:val="0"/>
        <w:adjustRightInd w:val="0"/>
        <w:ind w:firstLine="643" w:firstLineChars="200"/>
        <w:jc w:val="both"/>
        <w:rPr>
          <w:rFonts w:hint="eastAsia" w:ascii="Times New Roman" w:hAnsi="Times New Roman" w:eastAsia="仿宋_GB2312" w:cs="宋体"/>
          <w:kern w:val="0"/>
          <w:sz w:val="32"/>
          <w:szCs w:val="32"/>
          <w:highlight w:val="none"/>
          <w:lang w:val="en-US" w:eastAsia="zh-CN" w:bidi="ar"/>
        </w:rPr>
      </w:pPr>
      <w:r>
        <w:rPr>
          <w:rFonts w:hint="eastAsia" w:ascii="楷体_GB2312" w:hAnsi="楷体_GB2312" w:eastAsia="楷体_GB2312" w:cs="楷体_GB2312"/>
          <w:b/>
          <w:bCs/>
          <w:kern w:val="0"/>
          <w:sz w:val="32"/>
          <w:szCs w:val="32"/>
          <w:highlight w:val="none"/>
          <w:lang w:val="en-US" w:eastAsia="zh-CN" w:bidi="ar"/>
        </w:rPr>
        <w:t>对内流程再造。</w:t>
      </w:r>
      <w:r>
        <w:rPr>
          <w:rFonts w:hint="eastAsia" w:ascii="Times New Roman" w:hAnsi="Times New Roman" w:eastAsia="仿宋_GB2312" w:cs="宋体"/>
          <w:kern w:val="0"/>
          <w:sz w:val="32"/>
          <w:szCs w:val="32"/>
          <w:highlight w:val="none"/>
          <w:lang w:val="en-US" w:eastAsia="zh-CN" w:bidi="ar"/>
        </w:rPr>
        <w:t>完成40余个银行内部关键业务流程梳理与再造，通过综合柜面系统集成企业级流程引擎，灵活配置业务流程，推动银行从“部门银行”向“流程银行”转型。在风险可控的前提下，提升了银行内部跨部门协同服务客户的效率。</w:t>
      </w:r>
    </w:p>
    <w:p>
      <w:pPr>
        <w:autoSpaceDE w:val="0"/>
        <w:autoSpaceDN w:val="0"/>
        <w:adjustRightInd w:val="0"/>
        <w:ind w:firstLine="643" w:firstLineChars="200"/>
        <w:jc w:val="both"/>
        <w:rPr>
          <w:rFonts w:hint="eastAsia" w:ascii="Times New Roman" w:hAnsi="Times New Roman" w:eastAsia="仿宋_GB2312" w:cs="宋体"/>
          <w:kern w:val="0"/>
          <w:sz w:val="32"/>
          <w:szCs w:val="32"/>
          <w:highlight w:val="none"/>
          <w:lang w:val="en-US" w:eastAsia="zh-CN" w:bidi="ar"/>
        </w:rPr>
      </w:pPr>
      <w:r>
        <w:rPr>
          <w:rFonts w:hint="eastAsia" w:ascii="楷体_GB2312" w:hAnsi="楷体_GB2312" w:eastAsia="楷体_GB2312" w:cs="楷体_GB2312"/>
          <w:b/>
          <w:bCs/>
          <w:kern w:val="0"/>
          <w:sz w:val="32"/>
          <w:szCs w:val="32"/>
          <w:highlight w:val="none"/>
          <w:lang w:val="en-US" w:eastAsia="zh-CN" w:bidi="ar"/>
        </w:rPr>
        <w:t>科技效能增强。</w:t>
      </w:r>
      <w:r>
        <w:rPr>
          <w:rFonts w:hint="eastAsia" w:ascii="Times New Roman" w:hAnsi="Times New Roman" w:eastAsia="仿宋_GB2312" w:cs="宋体"/>
          <w:kern w:val="0"/>
          <w:sz w:val="32"/>
          <w:szCs w:val="32"/>
          <w:highlight w:val="none"/>
          <w:lang w:val="en-US" w:eastAsia="zh-CN" w:bidi="ar"/>
        </w:rPr>
        <w:t>构建国产私有云、分布式数据库及容器平台，推广DevOps（研发运营一体化）等新技术，完成主要业务系统上云。实现了系统分布式、高可用、高性能、高可靠、高扩展、标准化等特性，为业务快速发展奠定稳定而有弹性的科技基础。</w:t>
      </w:r>
    </w:p>
    <w:p>
      <w:pPr>
        <w:autoSpaceDE w:val="0"/>
        <w:autoSpaceDN w:val="0"/>
        <w:adjustRightInd w:val="0"/>
        <w:ind w:firstLine="643" w:firstLineChars="200"/>
        <w:jc w:val="both"/>
        <w:rPr>
          <w:rFonts w:hint="eastAsia" w:ascii="Times New Roman" w:hAnsi="Times New Roman" w:eastAsia="仿宋_GB2312" w:cs="宋体"/>
          <w:kern w:val="0"/>
          <w:sz w:val="32"/>
          <w:szCs w:val="32"/>
          <w:highlight w:val="none"/>
          <w:lang w:val="en-US" w:eastAsia="zh-CN" w:bidi="ar"/>
        </w:rPr>
      </w:pPr>
      <w:r>
        <w:rPr>
          <w:rFonts w:hint="eastAsia" w:ascii="楷体_GB2312" w:hAnsi="楷体_GB2312" w:eastAsia="楷体_GB2312" w:cs="楷体_GB2312"/>
          <w:b/>
          <w:bCs/>
          <w:kern w:val="0"/>
          <w:sz w:val="32"/>
          <w:szCs w:val="32"/>
          <w:highlight w:val="none"/>
          <w:lang w:val="en-US" w:eastAsia="zh-CN" w:bidi="ar"/>
        </w:rPr>
        <w:t>安全升级赋能。</w:t>
      </w:r>
      <w:r>
        <w:rPr>
          <w:rFonts w:hint="eastAsia" w:ascii="Times New Roman" w:hAnsi="Times New Roman" w:eastAsia="仿宋_GB2312" w:cs="宋体"/>
          <w:kern w:val="0"/>
          <w:sz w:val="32"/>
          <w:szCs w:val="32"/>
          <w:highlight w:val="none"/>
          <w:lang w:val="en-US" w:eastAsia="zh-CN" w:bidi="ar"/>
        </w:rPr>
        <w:t>建构软件开发安全生命周期管理和安全态势感知平台，提升安全节点管控和安全威胁的及时发现和缓释能力。创新安全管控平台及机制，为“新一代”及未来信息资产的安全防护夯实基础。</w:t>
      </w:r>
    </w:p>
    <w:p>
      <w:pPr>
        <w:autoSpaceDE w:val="0"/>
        <w:autoSpaceDN w:val="0"/>
        <w:adjustRightInd w:val="0"/>
        <w:ind w:firstLine="640" w:firstLineChars="200"/>
        <w:jc w:val="both"/>
        <w:rPr>
          <w:rFonts w:hint="eastAsia" w:ascii="Times New Roman" w:hAnsi="Times New Roman" w:eastAsia="仿宋_GB2312" w:cs="宋体"/>
          <w:kern w:val="0"/>
          <w:sz w:val="32"/>
          <w:szCs w:val="32"/>
          <w:highlight w:val="none"/>
          <w:lang w:val="en-US" w:eastAsia="zh-CN" w:bidi="ar"/>
        </w:rPr>
      </w:pPr>
      <w:r>
        <w:rPr>
          <w:rFonts w:hint="eastAsia" w:ascii="Times New Roman" w:hAnsi="Times New Roman" w:eastAsia="仿宋_GB2312" w:cs="宋体"/>
          <w:kern w:val="0"/>
          <w:sz w:val="32"/>
          <w:szCs w:val="32"/>
          <w:highlight w:val="none"/>
          <w:lang w:val="en-US" w:eastAsia="zh-CN" w:bidi="ar"/>
        </w:rPr>
        <w:t>在“新一代”正式启用后，浦发硅谷银行将进一步加强与各类科创企业的互动，共建商业化、产业化的数字平台；同时，与长期紧密合作的100多家全球头部风险投资机构成为科创生态圈的连接者与赋能者，逐步形成一张跨区域、跨行业、覆盖头部创新生态的网络。（浦发银行）</w:t>
      </w:r>
    </w:p>
    <w:p>
      <w:pPr>
        <w:autoSpaceDE w:val="0"/>
        <w:autoSpaceDN w:val="0"/>
        <w:adjustRightInd w:val="0"/>
        <w:ind w:firstLine="640" w:firstLineChars="200"/>
        <w:jc w:val="both"/>
        <w:rPr>
          <w:rFonts w:hint="eastAsia" w:ascii="Times New Roman" w:hAnsi="Times New Roman" w:eastAsia="仿宋字体" w:cs="宋体"/>
          <w:kern w:val="0"/>
          <w:sz w:val="32"/>
          <w:szCs w:val="32"/>
          <w:highlight w:val="none"/>
          <w:lang w:val="en-US" w:eastAsia="zh-CN" w:bidi="ar"/>
        </w:rPr>
      </w:pPr>
    </w:p>
    <w:p>
      <w:pPr>
        <w:widowControl w:val="0"/>
        <w:numPr>
          <w:ilvl w:val="0"/>
          <w:numId w:val="1"/>
        </w:numPr>
        <w:spacing w:after="156" w:afterLines="50"/>
        <w:ind w:right="-101" w:rightChars="-42"/>
        <w:rPr>
          <w:rFonts w:hint="eastAsia" w:ascii="Times New Roman" w:hAnsi="Times New Roman" w:eastAsia="仿宋_GB2312"/>
          <w:color w:val="auto"/>
          <w:sz w:val="32"/>
          <w:szCs w:val="32"/>
          <w:highlight w:val="none"/>
          <w:lang w:eastAsia="zh-CN" w:bidi="ar"/>
        </w:rPr>
      </w:pPr>
      <w:r>
        <w:rPr>
          <w:rFonts w:hint="eastAsia" w:ascii="Times New Roman" w:hAnsi="Times New Roman" w:eastAsia="楷体_GB2312"/>
          <w:b/>
          <w:bCs/>
          <w:color w:val="auto"/>
          <w:sz w:val="32"/>
          <w:szCs w:val="32"/>
          <w:highlight w:val="none"/>
        </w:rPr>
        <w:t>国企之窗</w:t>
      </w:r>
    </w:p>
    <w:p>
      <w:pPr>
        <w:keepNext w:val="0"/>
        <w:keepLines w:val="0"/>
        <w:pageBreakBefore w:val="0"/>
        <w:widowControl/>
        <w:suppressLineNumbers w:val="0"/>
        <w:kinsoku/>
        <w:wordWrap/>
        <w:overflowPunct/>
        <w:topLinePunct w:val="0"/>
        <w:autoSpaceDE/>
        <w:autoSpaceDN/>
        <w:bidi w:val="0"/>
        <w:adjustRightInd/>
        <w:snapToGrid/>
        <w:spacing w:before="157" w:beforeLines="50"/>
        <w:jc w:val="center"/>
        <w:textAlignment w:val="auto"/>
        <w:rPr>
          <w:rFonts w:hint="eastAsia" w:ascii="华文中宋" w:hAnsi="华文中宋" w:eastAsia="华文中宋" w:cs="华文中宋"/>
          <w:i w:val="0"/>
          <w:caps w:val="0"/>
          <w:color w:val="auto"/>
          <w:spacing w:val="0"/>
          <w:kern w:val="0"/>
          <w:sz w:val="36"/>
          <w:szCs w:val="36"/>
          <w:shd w:val="clear" w:fill="FFFFFF"/>
          <w:lang w:val="en-US" w:eastAsia="zh-CN" w:bidi="ar"/>
        </w:rPr>
      </w:pPr>
      <w:r>
        <w:rPr>
          <w:rFonts w:hint="eastAsia" w:ascii="华文中宋" w:hAnsi="华文中宋" w:eastAsia="华文中宋" w:cs="华文中宋"/>
          <w:i w:val="0"/>
          <w:caps w:val="0"/>
          <w:color w:val="auto"/>
          <w:spacing w:val="0"/>
          <w:kern w:val="0"/>
          <w:sz w:val="36"/>
          <w:szCs w:val="36"/>
          <w:shd w:val="clear" w:fill="FFFFFF"/>
          <w:lang w:val="en-US" w:eastAsia="zh-CN" w:bidi="ar"/>
        </w:rPr>
        <w:t>中国在南部非洲最大援建项目</w:t>
      </w:r>
    </w:p>
    <w:p>
      <w:pPr>
        <w:keepNext w:val="0"/>
        <w:keepLines w:val="0"/>
        <w:pageBreakBefore w:val="0"/>
        <w:widowControl/>
        <w:suppressLineNumbers w:val="0"/>
        <w:kinsoku/>
        <w:wordWrap/>
        <w:overflowPunct/>
        <w:topLinePunct w:val="0"/>
        <w:autoSpaceDE/>
        <w:autoSpaceDN/>
        <w:bidi w:val="0"/>
        <w:adjustRightInd/>
        <w:snapToGrid/>
        <w:spacing w:after="157" w:afterLines="50"/>
        <w:jc w:val="center"/>
        <w:textAlignment w:val="auto"/>
        <w:rPr>
          <w:rFonts w:hint="eastAsia" w:ascii="华文中宋" w:hAnsi="华文中宋" w:eastAsia="华文中宋" w:cs="华文中宋"/>
          <w:color w:val="auto"/>
          <w:sz w:val="36"/>
          <w:szCs w:val="36"/>
        </w:rPr>
      </w:pPr>
      <w:r>
        <w:rPr>
          <w:rFonts w:hint="eastAsia" w:ascii="华文中宋" w:hAnsi="华文中宋" w:eastAsia="华文中宋" w:cs="华文中宋"/>
          <w:i w:val="0"/>
          <w:caps w:val="0"/>
          <w:color w:val="auto"/>
          <w:spacing w:val="0"/>
          <w:kern w:val="0"/>
          <w:sz w:val="36"/>
          <w:szCs w:val="36"/>
          <w:shd w:val="clear" w:fill="FFFFFF"/>
          <w:lang w:val="en-US" w:eastAsia="zh-CN" w:bidi="ar"/>
        </w:rPr>
        <w:t>上海建工津巴布韦议会大厦项目顺利竣工验收</w:t>
      </w:r>
    </w:p>
    <w:p>
      <w:pPr>
        <w:autoSpaceDE w:val="0"/>
        <w:autoSpaceDN w:val="0"/>
        <w:adjustRightInd w:val="0"/>
        <w:ind w:firstLine="640" w:firstLineChars="200"/>
        <w:jc w:val="both"/>
        <w:rPr>
          <w:rFonts w:hint="eastAsia" w:ascii="Times New Roman" w:hAnsi="Times New Roman" w:eastAsia="仿宋_GB2312" w:cs="宋体"/>
          <w:kern w:val="0"/>
          <w:sz w:val="32"/>
          <w:szCs w:val="32"/>
          <w:highlight w:val="none"/>
          <w:lang w:val="en-US" w:eastAsia="zh-CN" w:bidi="ar"/>
        </w:rPr>
      </w:pPr>
      <w:r>
        <w:rPr>
          <w:rFonts w:hint="eastAsia" w:ascii="Times New Roman" w:hAnsi="Times New Roman" w:eastAsia="仿宋_GB2312" w:cs="宋体"/>
          <w:color w:val="auto"/>
          <w:kern w:val="0"/>
          <w:sz w:val="32"/>
          <w:szCs w:val="32"/>
          <w:highlight w:val="none"/>
          <w:lang w:val="en-US" w:eastAsia="zh-CN" w:bidi="ar"/>
        </w:rPr>
        <w:t>近日，中国在南部非洲最大的</w:t>
      </w:r>
      <w:r>
        <w:rPr>
          <w:rFonts w:hint="eastAsia" w:ascii="Times New Roman" w:hAnsi="Times New Roman" w:eastAsia="仿宋_GB2312" w:cs="宋体"/>
          <w:kern w:val="0"/>
          <w:sz w:val="32"/>
          <w:szCs w:val="32"/>
          <w:highlight w:val="none"/>
          <w:lang w:val="en-US" w:eastAsia="zh-CN" w:bidi="ar"/>
        </w:rPr>
        <w:t>援建项目、由上海建工承建的津巴布韦议会大厦项目正式完成竣工验收。这是上海建工迄今为止实施的规模最大、标准最高的援外项目。</w:t>
      </w:r>
    </w:p>
    <w:p>
      <w:pPr>
        <w:autoSpaceDE w:val="0"/>
        <w:autoSpaceDN w:val="0"/>
        <w:adjustRightInd w:val="0"/>
        <w:ind w:firstLine="640" w:firstLineChars="200"/>
        <w:jc w:val="both"/>
        <w:rPr>
          <w:rFonts w:hint="eastAsia" w:ascii="Times New Roman" w:hAnsi="Times New Roman" w:eastAsia="仿宋_GB2312" w:cs="宋体"/>
          <w:kern w:val="0"/>
          <w:sz w:val="32"/>
          <w:szCs w:val="32"/>
          <w:highlight w:val="none"/>
          <w:lang w:val="en-US" w:eastAsia="zh-CN" w:bidi="ar"/>
        </w:rPr>
      </w:pPr>
      <w:r>
        <w:rPr>
          <w:rFonts w:hint="eastAsia" w:ascii="Times New Roman" w:hAnsi="Times New Roman" w:eastAsia="仿宋_GB2312" w:cs="宋体"/>
          <w:kern w:val="0"/>
          <w:sz w:val="32"/>
          <w:szCs w:val="32"/>
          <w:highlight w:val="none"/>
          <w:lang w:val="en-US" w:eastAsia="zh-CN" w:bidi="ar"/>
        </w:rPr>
        <w:t>作为落实“一带一路”倡议、提升中津两国关系的标志性工程，津巴布韦议会大厦项目自2018年9月开工建设以来受到高度关注，津巴布韦总统姆南加古瓦曾先后4次到访现场，关心工程进展。经过220多名中方人员和800名当地员工的共同努力，该项目历时近3年顺利建成。今后，津巴布韦内阁和参众两院都将在此处办公，并将成为当地的地标性建筑，带动该区域发展。</w:t>
      </w:r>
    </w:p>
    <w:p>
      <w:pPr>
        <w:autoSpaceDE w:val="0"/>
        <w:autoSpaceDN w:val="0"/>
        <w:adjustRightInd w:val="0"/>
        <w:ind w:firstLine="640" w:firstLineChars="200"/>
        <w:jc w:val="both"/>
        <w:rPr>
          <w:rFonts w:hint="eastAsia" w:ascii="Times New Roman" w:hAnsi="Times New Roman" w:eastAsia="仿宋_GB2312" w:cs="宋体"/>
          <w:kern w:val="0"/>
          <w:sz w:val="32"/>
          <w:szCs w:val="32"/>
          <w:highlight w:val="none"/>
          <w:lang w:val="en-US" w:eastAsia="zh-CN" w:bidi="ar"/>
        </w:rPr>
      </w:pPr>
      <w:r>
        <w:rPr>
          <w:rFonts w:hint="eastAsia" w:ascii="Times New Roman" w:hAnsi="Times New Roman" w:eastAsia="仿宋_GB2312" w:cs="宋体"/>
          <w:kern w:val="0"/>
          <w:sz w:val="32"/>
          <w:szCs w:val="32"/>
          <w:highlight w:val="none"/>
          <w:lang w:val="en-US" w:eastAsia="zh-CN" w:bidi="ar"/>
        </w:rPr>
        <w:t>津巴布韦议会大厦位于首都哈拉雷西北部的祈祷山上，总建筑面积约3.2万平方米，占地面积超8万平方米，由4层的议事厅及6层的办公楼组成。建筑整体呈围合型布局，议事厅部分为圆形布置，议会办公部分环绕其西侧，两者之间以连廊相接。该项目于2018年9月开工，2020年1月完成主体结构验收，后进入装饰装修阶段施工。2020年1月下旬起，新冠疫情在全球的快速蔓延给项目建设造成了较大影响，项目团队努力克服各种困难，尽早实现复工复产：多渠道多方法筹措物料的订货和发运，从国内调集一批专业施工人员，制定详细抗疫方案，对现场实行闭环管理，千方百计加快施工进度，把疫情对工期的影响降到最低。最终在全体人员的努力下，津巴布韦议会大厦项目于今年5月27日完成了所有施工任务。</w:t>
      </w:r>
    </w:p>
    <w:p>
      <w:pPr>
        <w:autoSpaceDE w:val="0"/>
        <w:autoSpaceDN w:val="0"/>
        <w:adjustRightInd w:val="0"/>
        <w:ind w:firstLine="640" w:firstLineChars="200"/>
        <w:jc w:val="both"/>
        <w:rPr>
          <w:rFonts w:hint="eastAsia" w:ascii="Times New Roman" w:hAnsi="Times New Roman" w:eastAsia="仿宋_GB2312" w:cs="宋体"/>
          <w:kern w:val="0"/>
          <w:sz w:val="32"/>
          <w:szCs w:val="32"/>
          <w:highlight w:val="none"/>
          <w:lang w:val="en-US" w:eastAsia="zh-CN" w:bidi="ar"/>
        </w:rPr>
      </w:pPr>
      <w:r>
        <w:rPr>
          <w:rFonts w:hint="eastAsia" w:ascii="Times New Roman" w:hAnsi="Times New Roman" w:eastAsia="仿宋_GB2312" w:cs="宋体"/>
          <w:kern w:val="0"/>
          <w:sz w:val="32"/>
          <w:szCs w:val="32"/>
          <w:highlight w:val="none"/>
          <w:lang w:val="en-US" w:eastAsia="zh-CN" w:bidi="ar"/>
        </w:rPr>
        <w:t>建设期间，有220多名中方管理人员和技术人员投入到项目施工中，累计为当地民众提供了800多个工作机会。项目所用砂、碎石、水泥等建设材料均从当地采购，极大促进了当地建筑材料市场的发展。（上海建工）</w:t>
      </w:r>
    </w:p>
    <w:p>
      <w:pPr>
        <w:autoSpaceDE w:val="0"/>
        <w:autoSpaceDN w:val="0"/>
        <w:adjustRightInd w:val="0"/>
        <w:ind w:firstLine="640" w:firstLineChars="200"/>
        <w:jc w:val="both"/>
        <w:rPr>
          <w:rFonts w:hint="eastAsia" w:ascii="Times New Roman" w:hAnsi="Times New Roman" w:eastAsia="仿宋_GB2312" w:cs="宋体"/>
          <w:kern w:val="0"/>
          <w:sz w:val="32"/>
          <w:szCs w:val="32"/>
          <w:highlight w:val="none"/>
          <w:lang w:val="en-US" w:eastAsia="zh-CN" w:bidi="ar"/>
        </w:rPr>
      </w:pPr>
    </w:p>
    <w:p>
      <w:pPr>
        <w:keepNext w:val="0"/>
        <w:keepLines w:val="0"/>
        <w:pageBreakBefore w:val="0"/>
        <w:widowControl/>
        <w:kinsoku/>
        <w:wordWrap/>
        <w:overflowPunct/>
        <w:topLinePunct w:val="0"/>
        <w:autoSpaceDE/>
        <w:autoSpaceDN/>
        <w:bidi w:val="0"/>
        <w:adjustRightInd/>
        <w:snapToGrid/>
        <w:spacing w:before="157" w:beforeLines="50"/>
        <w:jc w:val="center"/>
        <w:textAlignment w:val="auto"/>
        <w:rPr>
          <w:rFonts w:hint="eastAsia" w:ascii="Times New Roman" w:hAnsi="Times New Roman" w:eastAsia="华文中宋" w:cs="华文中宋"/>
          <w:kern w:val="0"/>
          <w:sz w:val="36"/>
          <w:szCs w:val="36"/>
          <w:highlight w:val="none"/>
          <w:shd w:val="clear" w:color="auto" w:fill="FFFFFF"/>
          <w:lang w:val="en-US" w:eastAsia="zh-CN" w:bidi="ar-SA"/>
        </w:rPr>
      </w:pPr>
      <w:r>
        <w:rPr>
          <w:rFonts w:hint="eastAsia" w:ascii="Times New Roman" w:hAnsi="Times New Roman" w:eastAsia="华文中宋" w:cs="华文中宋"/>
          <w:kern w:val="0"/>
          <w:sz w:val="36"/>
          <w:szCs w:val="36"/>
          <w:highlight w:val="none"/>
          <w:shd w:val="clear" w:color="auto" w:fill="FFFFFF"/>
          <w:lang w:val="en-US" w:eastAsia="zh-CN" w:bidi="ar-SA"/>
        </w:rPr>
        <w:t>华建集团华东院担任执行建筑师的</w:t>
      </w:r>
    </w:p>
    <w:p>
      <w:pPr>
        <w:keepNext w:val="0"/>
        <w:keepLines w:val="0"/>
        <w:pageBreakBefore w:val="0"/>
        <w:widowControl/>
        <w:kinsoku/>
        <w:wordWrap/>
        <w:overflowPunct/>
        <w:topLinePunct w:val="0"/>
        <w:autoSpaceDE/>
        <w:autoSpaceDN/>
        <w:bidi w:val="0"/>
        <w:adjustRightInd/>
        <w:snapToGrid/>
        <w:spacing w:after="156" w:afterLines="50"/>
        <w:jc w:val="center"/>
        <w:textAlignment w:val="auto"/>
        <w:rPr>
          <w:rFonts w:hint="default" w:ascii="Times New Roman" w:hAnsi="Times New Roman" w:eastAsia="华文中宋" w:cs="华文中宋"/>
          <w:kern w:val="0"/>
          <w:sz w:val="36"/>
          <w:szCs w:val="36"/>
          <w:highlight w:val="none"/>
          <w:shd w:val="clear" w:color="auto" w:fill="FFFFFF"/>
          <w:lang w:val="en-US" w:eastAsia="zh-CN" w:bidi="ar-SA"/>
        </w:rPr>
      </w:pPr>
      <w:r>
        <w:rPr>
          <w:rFonts w:hint="eastAsia" w:ascii="Times New Roman" w:hAnsi="Times New Roman" w:eastAsia="华文中宋" w:cs="华文中宋"/>
          <w:kern w:val="0"/>
          <w:sz w:val="36"/>
          <w:szCs w:val="36"/>
          <w:highlight w:val="none"/>
          <w:shd w:val="clear" w:color="auto" w:fill="FFFFFF"/>
          <w:lang w:val="en-US" w:eastAsia="zh-CN" w:bidi="ar-SA"/>
        </w:rPr>
        <w:t>陆海国际中心创重庆新高度</w:t>
      </w:r>
    </w:p>
    <w:p>
      <w:pPr>
        <w:keepNext w:val="0"/>
        <w:keepLines w:val="0"/>
        <w:pageBreakBefore w:val="0"/>
        <w:widowControl/>
        <w:kinsoku/>
        <w:wordWrap/>
        <w:overflowPunct/>
        <w:topLinePunct w:val="0"/>
        <w:autoSpaceDE w:val="0"/>
        <w:autoSpaceDN w:val="0"/>
        <w:bidi w:val="0"/>
        <w:adjustRightInd w:val="0"/>
        <w:snapToGrid/>
        <w:ind w:firstLine="640" w:firstLineChars="200"/>
        <w:jc w:val="both"/>
        <w:textAlignment w:val="auto"/>
        <w:rPr>
          <w:rFonts w:hint="eastAsia" w:ascii="Times New Roman" w:hAnsi="Times New Roman" w:eastAsia="仿宋_GB2312" w:cs="宋体"/>
          <w:kern w:val="0"/>
          <w:sz w:val="32"/>
          <w:szCs w:val="32"/>
          <w:highlight w:val="none"/>
          <w:lang w:val="en-US" w:eastAsia="zh-CN" w:bidi="ar"/>
        </w:rPr>
      </w:pPr>
      <w:r>
        <w:rPr>
          <w:rFonts w:hint="eastAsia" w:ascii="Times New Roman" w:hAnsi="Times New Roman" w:eastAsia="仿宋_GB2312" w:cs="宋体"/>
          <w:kern w:val="0"/>
          <w:sz w:val="32"/>
          <w:szCs w:val="32"/>
          <w:highlight w:val="none"/>
          <w:lang w:val="en-US" w:eastAsia="zh-CN" w:bidi="ar"/>
        </w:rPr>
        <w:t>日前，由华建集团华东建筑设计研究院有限公司（下文简称“华东院”）担任执行建筑师的陆海国际中心（重庆100）正式封顶，标志重庆第一高度定格在458米。封顶仪式上，世界高层建筑与都市人居学会（CTBUH）向陆海国际中心（重庆100）授牌“重庆市最高建筑”。据CTBUH数据库显示，其跻身全球已建成及已封顶建筑高度第18名。</w:t>
      </w:r>
    </w:p>
    <w:p>
      <w:pPr>
        <w:widowControl w:val="0"/>
        <w:ind w:firstLine="643" w:firstLineChars="200"/>
        <w:jc w:val="both"/>
        <w:rPr>
          <w:rFonts w:hint="eastAsia" w:ascii="Times New Roman" w:hAnsi="Times New Roman" w:eastAsia="仿宋_GB2312" w:cs="宋体"/>
          <w:kern w:val="0"/>
          <w:sz w:val="32"/>
          <w:szCs w:val="32"/>
          <w:highlight w:val="none"/>
          <w:lang w:val="en-US" w:eastAsia="zh-CN" w:bidi="ar"/>
        </w:rPr>
      </w:pPr>
      <w:r>
        <w:rPr>
          <w:rFonts w:hint="eastAsia" w:ascii="楷体_GB2312" w:hAnsi="楷体_GB2312" w:eastAsia="楷体_GB2312" w:cs="楷体_GB2312"/>
          <w:b/>
          <w:bCs/>
          <w:kern w:val="0"/>
          <w:sz w:val="32"/>
          <w:szCs w:val="32"/>
          <w:highlight w:val="none"/>
          <w:lang w:val="en-US" w:eastAsia="zh-CN" w:bidi="ar"/>
        </w:rPr>
        <w:t>轨道接驳、还原山城交通景象。</w:t>
      </w:r>
      <w:r>
        <w:rPr>
          <w:rFonts w:hint="eastAsia" w:ascii="Times New Roman" w:hAnsi="Times New Roman" w:eastAsia="仿宋_GB2312" w:cs="宋体"/>
          <w:kern w:val="0"/>
          <w:sz w:val="32"/>
          <w:szCs w:val="32"/>
          <w:highlight w:val="none"/>
          <w:lang w:val="en-US" w:eastAsia="zh-CN" w:bidi="ar"/>
        </w:rPr>
        <w:t>重庆轨道9号线于今年1月25日通车，以高架形式在商业裙楼内设轨道站，并与商业裙楼共建，成为国内少有的高架穿楼并在楼内设站的轨道线路。重庆轨道9号线其中的化龙桥站与陆海国际中心（重庆100）无缝接驳，项目实现了“出山-穿楼-跨江”三元一体的山城特有交通景象。</w:t>
      </w:r>
    </w:p>
    <w:p>
      <w:pPr>
        <w:widowControl w:val="0"/>
        <w:ind w:firstLine="643" w:firstLineChars="200"/>
        <w:jc w:val="both"/>
        <w:rPr>
          <w:rFonts w:hint="eastAsia" w:ascii="Times New Roman" w:hAnsi="Times New Roman" w:eastAsia="仿宋_GB2312" w:cs="宋体"/>
          <w:kern w:val="0"/>
          <w:sz w:val="32"/>
          <w:szCs w:val="32"/>
          <w:highlight w:val="none"/>
          <w:lang w:val="en-US" w:eastAsia="zh-CN" w:bidi="ar"/>
        </w:rPr>
      </w:pPr>
      <w:r>
        <w:rPr>
          <w:rFonts w:hint="eastAsia" w:ascii="楷体_GB2312" w:hAnsi="楷体_GB2312" w:eastAsia="楷体_GB2312" w:cs="楷体_GB2312"/>
          <w:b/>
          <w:bCs/>
          <w:kern w:val="0"/>
          <w:sz w:val="32"/>
          <w:szCs w:val="32"/>
          <w:highlight w:val="none"/>
          <w:lang w:val="en-US" w:eastAsia="zh-CN" w:bidi="ar"/>
        </w:rPr>
        <w:t>复合业态、打造</w:t>
      </w:r>
      <w:r>
        <w:rPr>
          <w:rFonts w:hint="default" w:ascii="Times New Roman" w:hAnsi="Times New Roman" w:eastAsia="楷体_GB2312" w:cs="Times New Roman"/>
          <w:b/>
          <w:bCs/>
          <w:kern w:val="0"/>
          <w:sz w:val="32"/>
          <w:szCs w:val="32"/>
          <w:highlight w:val="none"/>
          <w:lang w:val="en-US" w:eastAsia="zh-CN" w:bidi="ar"/>
        </w:rPr>
        <w:t>TOD</w:t>
      </w:r>
      <w:r>
        <w:rPr>
          <w:rFonts w:hint="eastAsia" w:ascii="楷体_GB2312" w:hAnsi="楷体_GB2312" w:eastAsia="楷体_GB2312" w:cs="楷体_GB2312"/>
          <w:b/>
          <w:bCs/>
          <w:kern w:val="0"/>
          <w:sz w:val="32"/>
          <w:szCs w:val="32"/>
          <w:highlight w:val="none"/>
          <w:lang w:val="en-US" w:eastAsia="zh-CN" w:bidi="ar"/>
        </w:rPr>
        <w:t>微城市生态。</w:t>
      </w:r>
      <w:r>
        <w:rPr>
          <w:rFonts w:hint="eastAsia" w:ascii="Times New Roman" w:hAnsi="Times New Roman" w:eastAsia="仿宋_GB2312" w:cs="宋体"/>
          <w:kern w:val="0"/>
          <w:sz w:val="32"/>
          <w:szCs w:val="32"/>
          <w:highlight w:val="none"/>
          <w:lang w:val="en-US" w:eastAsia="zh-CN" w:bidi="ar"/>
        </w:rPr>
        <w:t>陆海国际中心（重庆100）总建筑体量超50万方，综合打造了约10万方地标级购物中心、约23万方超甲级办公楼、超五星奢华酒店和观光层四大业态，构建了融合购物、商务、酒店、观光以及城市轨道交通自运转的TOD（以公共交通为导向）微城市生态。高端的商业业态为区域注入经济活力，全球最高悦榕庄城市度假酒店以及创新开放重庆唯一、渝中独有360°全景云端观光层，将自然生态、工作场域与生活场景融合。</w:t>
      </w:r>
    </w:p>
    <w:p>
      <w:pPr>
        <w:autoSpaceDE w:val="0"/>
        <w:autoSpaceDN w:val="0"/>
        <w:adjustRightInd w:val="0"/>
        <w:ind w:firstLine="643" w:firstLineChars="200"/>
        <w:jc w:val="both"/>
        <w:rPr>
          <w:rFonts w:hint="eastAsia" w:ascii="Times New Roman" w:hAnsi="Times New Roman" w:eastAsia="仿宋_GB2312" w:cs="宋体"/>
          <w:kern w:val="0"/>
          <w:sz w:val="32"/>
          <w:szCs w:val="32"/>
          <w:highlight w:val="none"/>
          <w:lang w:val="en-US" w:eastAsia="zh-CN" w:bidi="ar"/>
        </w:rPr>
      </w:pPr>
      <w:r>
        <w:rPr>
          <w:rFonts w:hint="eastAsia" w:ascii="楷体_GB2312" w:hAnsi="楷体_GB2312" w:eastAsia="楷体_GB2312" w:cs="楷体_GB2312"/>
          <w:b/>
          <w:bCs/>
          <w:kern w:val="0"/>
          <w:sz w:val="32"/>
          <w:szCs w:val="32"/>
          <w:highlight w:val="none"/>
          <w:lang w:val="en-US" w:eastAsia="zh-CN" w:bidi="ar"/>
        </w:rPr>
        <w:t>山城特色、多元场景商业融合。</w:t>
      </w:r>
      <w:r>
        <w:rPr>
          <w:rFonts w:hint="eastAsia" w:ascii="Times New Roman" w:hAnsi="Times New Roman" w:eastAsia="仿宋_GB2312" w:cs="宋体"/>
          <w:kern w:val="0"/>
          <w:sz w:val="32"/>
          <w:szCs w:val="32"/>
          <w:highlight w:val="none"/>
          <w:lang w:val="en-US" w:eastAsia="zh-CN" w:bidi="ar"/>
        </w:rPr>
        <w:t>陆海国际中心（重庆100）在“盒子型”购物中心内同时加载街区式、旅游式、生态式的消费场景，将单一的室内空间与轨道交通9号线、湖畔公园、城市观光、商务办公等多元场景延伸融合，增加场景体验的新鲜感，加强消费者与消费场景的互动链接。</w:t>
      </w:r>
    </w:p>
    <w:p>
      <w:pPr>
        <w:autoSpaceDE w:val="0"/>
        <w:autoSpaceDN w:val="0"/>
        <w:adjustRightInd w:val="0"/>
        <w:ind w:firstLine="640" w:firstLineChars="200"/>
        <w:jc w:val="both"/>
        <w:rPr>
          <w:rFonts w:hint="eastAsia" w:ascii="Times New Roman" w:hAnsi="Times New Roman" w:eastAsia="仿宋_GB2312" w:cs="宋体"/>
          <w:kern w:val="0"/>
          <w:sz w:val="32"/>
          <w:szCs w:val="32"/>
          <w:highlight w:val="none"/>
          <w:lang w:val="en-US" w:eastAsia="zh-CN" w:bidi="ar"/>
        </w:rPr>
      </w:pPr>
      <w:r>
        <w:rPr>
          <w:rFonts w:hint="eastAsia" w:ascii="Times New Roman" w:hAnsi="Times New Roman" w:eastAsia="仿宋_GB2312" w:cs="宋体"/>
          <w:kern w:val="0"/>
          <w:sz w:val="32"/>
          <w:szCs w:val="32"/>
          <w:highlight w:val="none"/>
          <w:lang w:val="en-US" w:eastAsia="zh-CN" w:bidi="ar"/>
        </w:rPr>
        <w:t>陆海国际中心（重庆100）计划于2022年12月实现商场开业，2024年第一季度办公楼、酒店及云端观光层均投入运营。（华建集团）</w:t>
      </w:r>
    </w:p>
    <w:p>
      <w:pPr>
        <w:autoSpaceDE w:val="0"/>
        <w:autoSpaceDN w:val="0"/>
        <w:adjustRightInd w:val="0"/>
        <w:ind w:firstLine="640" w:firstLineChars="200"/>
        <w:jc w:val="both"/>
        <w:rPr>
          <w:rFonts w:hint="eastAsia" w:ascii="Times New Roman" w:hAnsi="Times New Roman" w:eastAsia="仿宋_GB2312" w:cs="宋体"/>
          <w:kern w:val="0"/>
          <w:sz w:val="32"/>
          <w:szCs w:val="32"/>
          <w:highlight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157" w:beforeLines="50"/>
        <w:jc w:val="center"/>
        <w:textAlignment w:val="auto"/>
        <w:rPr>
          <w:rFonts w:hint="eastAsia" w:ascii="Times New Roman" w:hAnsi="Times New Roman" w:eastAsia="华文中宋" w:cs="华文中宋"/>
          <w:kern w:val="0"/>
          <w:sz w:val="36"/>
          <w:szCs w:val="36"/>
          <w:highlight w:val="none"/>
          <w:shd w:val="clear" w:color="auto" w:fill="FFFFFF"/>
          <w:lang w:val="en-US" w:eastAsia="zh-CN" w:bidi="ar-SA"/>
        </w:rPr>
      </w:pPr>
      <w:r>
        <w:rPr>
          <w:rFonts w:hint="eastAsia" w:ascii="Times New Roman" w:hAnsi="Times New Roman" w:eastAsia="华文中宋" w:cs="华文中宋"/>
          <w:kern w:val="0"/>
          <w:sz w:val="36"/>
          <w:szCs w:val="36"/>
          <w:highlight w:val="none"/>
          <w:shd w:val="clear" w:color="auto" w:fill="FFFFFF"/>
          <w:lang w:val="en-US" w:eastAsia="zh-CN" w:bidi="ar-SA"/>
        </w:rPr>
        <w:t>隧道股份承建的沪通铁路吴淞口长江隧道工程</w:t>
      </w:r>
    </w:p>
    <w:p>
      <w:pPr>
        <w:keepNext w:val="0"/>
        <w:keepLines w:val="0"/>
        <w:pageBreakBefore w:val="0"/>
        <w:widowControl/>
        <w:suppressLineNumbers w:val="0"/>
        <w:kinsoku/>
        <w:wordWrap/>
        <w:overflowPunct/>
        <w:topLinePunct w:val="0"/>
        <w:autoSpaceDE/>
        <w:autoSpaceDN/>
        <w:bidi w:val="0"/>
        <w:adjustRightInd/>
        <w:snapToGrid/>
        <w:spacing w:after="157" w:afterLines="50"/>
        <w:jc w:val="center"/>
        <w:textAlignment w:val="auto"/>
        <w:rPr>
          <w:rFonts w:hint="eastAsia" w:ascii="Times New Roman" w:hAnsi="Times New Roman" w:eastAsia="华文中宋" w:cs="华文中宋"/>
          <w:kern w:val="0"/>
          <w:sz w:val="36"/>
          <w:szCs w:val="36"/>
          <w:highlight w:val="none"/>
          <w:shd w:val="clear" w:color="auto" w:fill="FFFFFF"/>
          <w:lang w:val="en-US" w:eastAsia="zh-CN" w:bidi="ar-SA"/>
        </w:rPr>
      </w:pPr>
      <w:r>
        <w:rPr>
          <w:rFonts w:hint="eastAsia" w:ascii="Times New Roman" w:hAnsi="Times New Roman" w:eastAsia="华文中宋" w:cs="华文中宋"/>
          <w:kern w:val="0"/>
          <w:sz w:val="36"/>
          <w:szCs w:val="36"/>
          <w:highlight w:val="none"/>
          <w:shd w:val="clear" w:color="auto" w:fill="FFFFFF"/>
          <w:lang w:val="en-US" w:eastAsia="zh-CN" w:bidi="ar-SA"/>
        </w:rPr>
        <w:t>迎来重要节点</w:t>
      </w:r>
    </w:p>
    <w:p>
      <w:pPr>
        <w:autoSpaceDE w:val="0"/>
        <w:autoSpaceDN w:val="0"/>
        <w:adjustRightInd w:val="0"/>
        <w:ind w:firstLine="640" w:firstLineChars="200"/>
        <w:jc w:val="both"/>
        <w:rPr>
          <w:rFonts w:hint="eastAsia" w:ascii="Times New Roman" w:hAnsi="Times New Roman" w:eastAsia="仿宋_GB2312" w:cs="宋体"/>
          <w:kern w:val="0"/>
          <w:sz w:val="32"/>
          <w:szCs w:val="32"/>
          <w:highlight w:val="none"/>
          <w:lang w:val="en-US" w:eastAsia="zh-CN" w:bidi="ar"/>
        </w:rPr>
      </w:pPr>
      <w:r>
        <w:rPr>
          <w:rFonts w:hint="eastAsia" w:ascii="Times New Roman" w:hAnsi="Times New Roman" w:eastAsia="仿宋_GB2312" w:cs="宋体"/>
          <w:kern w:val="0"/>
          <w:sz w:val="32"/>
          <w:szCs w:val="32"/>
          <w:highlight w:val="none"/>
          <w:lang w:val="en-US" w:eastAsia="zh-CN" w:bidi="ar"/>
        </w:rPr>
        <w:t>近日，由隧道股份上海隧道承建的沪通铁路吴淞口长江隧道工程，迎来重要节点。在长江畔的盾构始发井内，两台直径10.69米国产大直径盾构机“沪驰号、通骋号”胜利始发，“并肩”踏上驰骋之路。</w:t>
      </w:r>
    </w:p>
    <w:p>
      <w:pPr>
        <w:autoSpaceDE w:val="0"/>
        <w:autoSpaceDN w:val="0"/>
        <w:adjustRightInd w:val="0"/>
        <w:ind w:firstLine="640" w:firstLineChars="200"/>
        <w:jc w:val="both"/>
        <w:rPr>
          <w:rFonts w:hint="eastAsia" w:ascii="Times New Roman" w:hAnsi="Times New Roman" w:eastAsia="仿宋_GB2312" w:cs="宋体"/>
          <w:kern w:val="0"/>
          <w:sz w:val="32"/>
          <w:szCs w:val="32"/>
          <w:highlight w:val="none"/>
          <w:lang w:val="en-US" w:eastAsia="zh-CN" w:bidi="ar"/>
        </w:rPr>
      </w:pPr>
      <w:r>
        <w:rPr>
          <w:rFonts w:hint="eastAsia" w:ascii="Times New Roman" w:hAnsi="Times New Roman" w:eastAsia="仿宋_GB2312" w:cs="宋体"/>
          <w:kern w:val="0"/>
          <w:sz w:val="32"/>
          <w:szCs w:val="32"/>
          <w:highlight w:val="none"/>
          <w:lang w:val="en-US" w:eastAsia="zh-CN" w:bidi="ar"/>
        </w:rPr>
        <w:t>沪通铁路项目是国家中长期铁路网规划中沿海铁路通道的重要组成部分，建成通车后将填补上海东部地区干线铁路的空白。其中，由隧道股份承建的沪通铁路吴淞口长江隧道工程线路全长7.2公里，将创下国内三项“第一”：一是国内第一条软土地区盾构法客货共线铁路隧道；二是国内第一条穿越长江和黄浦江的铁路隧道；三是国内第一条全封闭内衬的盾构法隧道。</w:t>
      </w:r>
    </w:p>
    <w:p>
      <w:pPr>
        <w:autoSpaceDE w:val="0"/>
        <w:autoSpaceDN w:val="0"/>
        <w:adjustRightInd w:val="0"/>
        <w:ind w:firstLine="640" w:firstLineChars="200"/>
        <w:jc w:val="both"/>
        <w:rPr>
          <w:rFonts w:hint="eastAsia" w:ascii="Times New Roman" w:hAnsi="Times New Roman" w:eastAsia="仿宋_GB2312"/>
          <w:color w:val="auto"/>
          <w:sz w:val="32"/>
          <w:szCs w:val="32"/>
          <w:highlight w:val="none"/>
          <w:lang w:val="en-US" w:eastAsia="zh-CN" w:bidi="ar"/>
        </w:rPr>
      </w:pPr>
      <w:r>
        <w:rPr>
          <w:rFonts w:hint="eastAsia" w:ascii="Times New Roman" w:hAnsi="Times New Roman" w:eastAsia="仿宋_GB2312" w:cs="宋体"/>
          <w:kern w:val="0"/>
          <w:sz w:val="32"/>
          <w:szCs w:val="32"/>
          <w:highlight w:val="none"/>
          <w:lang w:val="en-US" w:eastAsia="zh-CN" w:bidi="ar"/>
        </w:rPr>
        <w:t>针对吴淞口长江隧道复杂难题，隧道股份上海隧道为隧道施工自主研发、量身定制的两台直径为10.69米大直径盾构机拥有——强劲无忧的盾构刀盘、提升效率的推拼同步技术、安全精准的管片拼装机、智能化的数据互联监控系统，确保盾构掘进施工安全、环保、高效。（隧道股份）</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onotype Corsiva">
    <w:altName w:val="Mongolian Baiti"/>
    <w:panose1 w:val="03010101010201010101"/>
    <w:charset w:val="00"/>
    <w:family w:val="script"/>
    <w:pitch w:val="default"/>
    <w:sig w:usb0="00000000" w:usb1="00000000" w:usb2="00000000" w:usb3="00000000" w:csb0="2000009F" w:csb1="DFD70000"/>
  </w:font>
  <w:font w:name="方正舒体">
    <w:altName w:val="宋体"/>
    <w:panose1 w:val="02010601030101010101"/>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字体">
    <w:altName w:val="仿宋"/>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Mongolian Baiti">
    <w:panose1 w:val="03000500000000000000"/>
    <w:charset w:val="00"/>
    <w:family w:val="auto"/>
    <w:pitch w:val="default"/>
    <w:sig w:usb0="80000023" w:usb1="00000000" w:usb2="00020000" w:usb3="00000000" w:csb0="00000001" w:csb1="00000000"/>
  </w:font>
  <w:font w:name="Arial">
    <w:panose1 w:val="020B0604020202020204"/>
    <w:charset w:val="00"/>
    <w:family w:val="auto"/>
    <w:pitch w:val="default"/>
    <w:sig w:usb0="E0002EFF" w:usb1="C000785B" w:usb2="00000009" w:usb3="00000000" w:csb0="4000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1"/>
      </w:rPr>
      <w:id w:val="1082953191"/>
      <w:docPartObj>
        <w:docPartGallery w:val="autotext"/>
      </w:docPartObj>
    </w:sdtPr>
    <w:sdtEndPr>
      <w:rPr>
        <w:rStyle w:val="11"/>
      </w:rPr>
    </w:sdtEndPr>
    <w:sdtContent>
      <w:p>
        <w:pPr>
          <w:pStyle w:val="6"/>
          <w:framePr w:wrap="around" w:vAnchor="text" w:hAnchor="margin" w:xAlign="center" w:y="1"/>
          <w:rPr>
            <w:rStyle w:val="11"/>
          </w:rPr>
        </w:pPr>
        <w:r>
          <w:rPr>
            <w:rStyle w:val="11"/>
          </w:rPr>
          <w:fldChar w:fldCharType="begin"/>
        </w:r>
        <w:r>
          <w:rPr>
            <w:rStyle w:val="11"/>
          </w:rPr>
          <w:instrText xml:space="preserve"> PAGE </w:instrText>
        </w:r>
        <w:r>
          <w:rPr>
            <w:rStyle w:val="11"/>
          </w:rPr>
          <w:fldChar w:fldCharType="separate"/>
        </w:r>
        <w:r>
          <w:rPr>
            <w:rStyle w:val="11"/>
          </w:rPr>
          <w:t>12</w:t>
        </w:r>
        <w:r>
          <w:rPr>
            <w:rStyle w:val="11"/>
          </w:rP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1"/>
      </w:rPr>
      <w:id w:val="-262157374"/>
      <w:docPartObj>
        <w:docPartGallery w:val="autotext"/>
      </w:docPartObj>
    </w:sdtPr>
    <w:sdtEndPr>
      <w:rPr>
        <w:rStyle w:val="11"/>
      </w:rPr>
    </w:sdtEndPr>
    <w:sdtContent>
      <w:p>
        <w:pPr>
          <w:pStyle w:val="6"/>
          <w:framePr w:wrap="around" w:vAnchor="text" w:hAnchor="margin" w:xAlign="center" w:y="1"/>
          <w:rPr>
            <w:rStyle w:val="11"/>
          </w:rPr>
        </w:pPr>
        <w:r>
          <w:rPr>
            <w:rStyle w:val="11"/>
          </w:rPr>
          <w:fldChar w:fldCharType="begin"/>
        </w:r>
        <w:r>
          <w:rPr>
            <w:rStyle w:val="11"/>
          </w:rPr>
          <w:instrText xml:space="preserve"> PAGE </w:instrText>
        </w:r>
        <w:r>
          <w:rPr>
            <w:rStyle w:val="11"/>
          </w:rP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97D2F"/>
    <w:multiLevelType w:val="multilevel"/>
    <w:tmpl w:val="2CB97D2F"/>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5Mzc2YjkwYmEwZDk1YTlkYmE5MjgzMWQzNmFhY2YifQ=="/>
  </w:docVars>
  <w:rsids>
    <w:rsidRoot w:val="422C2EE7"/>
    <w:rsid w:val="00032593"/>
    <w:rsid w:val="00036C22"/>
    <w:rsid w:val="000B75B6"/>
    <w:rsid w:val="000C73CD"/>
    <w:rsid w:val="000E4EB6"/>
    <w:rsid w:val="000E713B"/>
    <w:rsid w:val="0010619F"/>
    <w:rsid w:val="001302CE"/>
    <w:rsid w:val="00137FEB"/>
    <w:rsid w:val="001E17B0"/>
    <w:rsid w:val="001E6745"/>
    <w:rsid w:val="002320FC"/>
    <w:rsid w:val="00234168"/>
    <w:rsid w:val="00263179"/>
    <w:rsid w:val="002644A7"/>
    <w:rsid w:val="00273F39"/>
    <w:rsid w:val="00297F0E"/>
    <w:rsid w:val="00315240"/>
    <w:rsid w:val="00343044"/>
    <w:rsid w:val="00354CB0"/>
    <w:rsid w:val="003A68E0"/>
    <w:rsid w:val="003C32C4"/>
    <w:rsid w:val="003C42B2"/>
    <w:rsid w:val="003E0DB7"/>
    <w:rsid w:val="003E791D"/>
    <w:rsid w:val="00411425"/>
    <w:rsid w:val="0041518F"/>
    <w:rsid w:val="00446463"/>
    <w:rsid w:val="00456EB1"/>
    <w:rsid w:val="00464590"/>
    <w:rsid w:val="004905CC"/>
    <w:rsid w:val="004B32B5"/>
    <w:rsid w:val="004C061E"/>
    <w:rsid w:val="004E1B4B"/>
    <w:rsid w:val="004E46E5"/>
    <w:rsid w:val="00540A47"/>
    <w:rsid w:val="0055574E"/>
    <w:rsid w:val="00607335"/>
    <w:rsid w:val="00614879"/>
    <w:rsid w:val="006178CF"/>
    <w:rsid w:val="0064451D"/>
    <w:rsid w:val="006827D8"/>
    <w:rsid w:val="00686359"/>
    <w:rsid w:val="006A5FB6"/>
    <w:rsid w:val="006C1F18"/>
    <w:rsid w:val="006F1F01"/>
    <w:rsid w:val="007016C0"/>
    <w:rsid w:val="0070353C"/>
    <w:rsid w:val="0070399D"/>
    <w:rsid w:val="00733A93"/>
    <w:rsid w:val="00755463"/>
    <w:rsid w:val="00771016"/>
    <w:rsid w:val="007A49EC"/>
    <w:rsid w:val="007B697D"/>
    <w:rsid w:val="00814993"/>
    <w:rsid w:val="008533D2"/>
    <w:rsid w:val="00855182"/>
    <w:rsid w:val="0087106F"/>
    <w:rsid w:val="008811BF"/>
    <w:rsid w:val="008B0AF8"/>
    <w:rsid w:val="008B0FE7"/>
    <w:rsid w:val="008D7D29"/>
    <w:rsid w:val="008E5A03"/>
    <w:rsid w:val="0090692F"/>
    <w:rsid w:val="00926779"/>
    <w:rsid w:val="009B73F6"/>
    <w:rsid w:val="009C00C2"/>
    <w:rsid w:val="009E005E"/>
    <w:rsid w:val="009E222B"/>
    <w:rsid w:val="00A11F0C"/>
    <w:rsid w:val="00A34644"/>
    <w:rsid w:val="00A652DB"/>
    <w:rsid w:val="00A94ECC"/>
    <w:rsid w:val="00AA2791"/>
    <w:rsid w:val="00AB1063"/>
    <w:rsid w:val="00AB3C9D"/>
    <w:rsid w:val="00AE296A"/>
    <w:rsid w:val="00B01B3A"/>
    <w:rsid w:val="00B10EE3"/>
    <w:rsid w:val="00B40415"/>
    <w:rsid w:val="00B63B24"/>
    <w:rsid w:val="00B6403F"/>
    <w:rsid w:val="00BB53DB"/>
    <w:rsid w:val="00BC6F92"/>
    <w:rsid w:val="00BD10DD"/>
    <w:rsid w:val="00BD325B"/>
    <w:rsid w:val="00BD7134"/>
    <w:rsid w:val="00BE5F7D"/>
    <w:rsid w:val="00C06964"/>
    <w:rsid w:val="00C722A8"/>
    <w:rsid w:val="00C77BB5"/>
    <w:rsid w:val="00CD3FA8"/>
    <w:rsid w:val="00CD7690"/>
    <w:rsid w:val="00D0528F"/>
    <w:rsid w:val="00D114A2"/>
    <w:rsid w:val="00D16176"/>
    <w:rsid w:val="00D2228D"/>
    <w:rsid w:val="00D31CF3"/>
    <w:rsid w:val="00D75561"/>
    <w:rsid w:val="00D81AE4"/>
    <w:rsid w:val="00DA6B1A"/>
    <w:rsid w:val="00DD4A4F"/>
    <w:rsid w:val="00DE0594"/>
    <w:rsid w:val="00E547F1"/>
    <w:rsid w:val="00E65D74"/>
    <w:rsid w:val="00E850DA"/>
    <w:rsid w:val="00E90F8A"/>
    <w:rsid w:val="00EA4E85"/>
    <w:rsid w:val="00EC6E62"/>
    <w:rsid w:val="00EF61F1"/>
    <w:rsid w:val="00F21840"/>
    <w:rsid w:val="00F53C34"/>
    <w:rsid w:val="00F91A1A"/>
    <w:rsid w:val="00FA0227"/>
    <w:rsid w:val="00FC07B7"/>
    <w:rsid w:val="0106405D"/>
    <w:rsid w:val="01160EA3"/>
    <w:rsid w:val="012F7699"/>
    <w:rsid w:val="013851DA"/>
    <w:rsid w:val="014B07F6"/>
    <w:rsid w:val="015476DB"/>
    <w:rsid w:val="016A7D77"/>
    <w:rsid w:val="016F283F"/>
    <w:rsid w:val="017F5714"/>
    <w:rsid w:val="018F6A3E"/>
    <w:rsid w:val="01A86BBB"/>
    <w:rsid w:val="01BE4AB7"/>
    <w:rsid w:val="02191E9F"/>
    <w:rsid w:val="02272D09"/>
    <w:rsid w:val="022C3ECA"/>
    <w:rsid w:val="025E2CEB"/>
    <w:rsid w:val="02783D4A"/>
    <w:rsid w:val="027849AA"/>
    <w:rsid w:val="028E5BCE"/>
    <w:rsid w:val="02993083"/>
    <w:rsid w:val="029D4945"/>
    <w:rsid w:val="02BC4BE1"/>
    <w:rsid w:val="02EE29ED"/>
    <w:rsid w:val="02F17217"/>
    <w:rsid w:val="0309108C"/>
    <w:rsid w:val="030B27EE"/>
    <w:rsid w:val="0332738A"/>
    <w:rsid w:val="0336518B"/>
    <w:rsid w:val="034D3112"/>
    <w:rsid w:val="03734FC2"/>
    <w:rsid w:val="039320A2"/>
    <w:rsid w:val="03EA5256"/>
    <w:rsid w:val="03FC4949"/>
    <w:rsid w:val="03FE15DB"/>
    <w:rsid w:val="042E07AD"/>
    <w:rsid w:val="044E2487"/>
    <w:rsid w:val="04581854"/>
    <w:rsid w:val="045D2CDA"/>
    <w:rsid w:val="04B05DEF"/>
    <w:rsid w:val="04BC02DB"/>
    <w:rsid w:val="04D213A5"/>
    <w:rsid w:val="051D3BF0"/>
    <w:rsid w:val="0561044A"/>
    <w:rsid w:val="056441D3"/>
    <w:rsid w:val="056905C6"/>
    <w:rsid w:val="05883E17"/>
    <w:rsid w:val="05B253F0"/>
    <w:rsid w:val="05B9052D"/>
    <w:rsid w:val="05C217CC"/>
    <w:rsid w:val="060A4F83"/>
    <w:rsid w:val="063400E4"/>
    <w:rsid w:val="0676641E"/>
    <w:rsid w:val="06C54B1C"/>
    <w:rsid w:val="06CE625A"/>
    <w:rsid w:val="06DD20DC"/>
    <w:rsid w:val="06E1523D"/>
    <w:rsid w:val="06E15F8D"/>
    <w:rsid w:val="06EA4586"/>
    <w:rsid w:val="06F02F02"/>
    <w:rsid w:val="06F20FC3"/>
    <w:rsid w:val="070677A2"/>
    <w:rsid w:val="072132C6"/>
    <w:rsid w:val="075E096D"/>
    <w:rsid w:val="076B6ED0"/>
    <w:rsid w:val="07A5586E"/>
    <w:rsid w:val="07B15B08"/>
    <w:rsid w:val="07F8789F"/>
    <w:rsid w:val="080726D2"/>
    <w:rsid w:val="081606E4"/>
    <w:rsid w:val="08290BEF"/>
    <w:rsid w:val="0831084F"/>
    <w:rsid w:val="08311465"/>
    <w:rsid w:val="08357123"/>
    <w:rsid w:val="085750E9"/>
    <w:rsid w:val="08580653"/>
    <w:rsid w:val="08614263"/>
    <w:rsid w:val="086D14F0"/>
    <w:rsid w:val="089F7EAE"/>
    <w:rsid w:val="08A26306"/>
    <w:rsid w:val="08C71A11"/>
    <w:rsid w:val="08DC76F0"/>
    <w:rsid w:val="08E7715F"/>
    <w:rsid w:val="08FE77F2"/>
    <w:rsid w:val="09252932"/>
    <w:rsid w:val="093C0C24"/>
    <w:rsid w:val="09563EF1"/>
    <w:rsid w:val="09631BFE"/>
    <w:rsid w:val="09857BDC"/>
    <w:rsid w:val="09A45624"/>
    <w:rsid w:val="0A096DD5"/>
    <w:rsid w:val="0A13455E"/>
    <w:rsid w:val="0A3104F6"/>
    <w:rsid w:val="0A547120"/>
    <w:rsid w:val="0A6102E0"/>
    <w:rsid w:val="0A6204C2"/>
    <w:rsid w:val="0A9D47E0"/>
    <w:rsid w:val="0AB00A77"/>
    <w:rsid w:val="0AB441DD"/>
    <w:rsid w:val="0AC43663"/>
    <w:rsid w:val="0AC90061"/>
    <w:rsid w:val="0AD5598B"/>
    <w:rsid w:val="0AE44A7F"/>
    <w:rsid w:val="0B096D48"/>
    <w:rsid w:val="0B103C3C"/>
    <w:rsid w:val="0B294C45"/>
    <w:rsid w:val="0B716BC4"/>
    <w:rsid w:val="0B7A075E"/>
    <w:rsid w:val="0B8D0492"/>
    <w:rsid w:val="0B9FED80"/>
    <w:rsid w:val="0BA12063"/>
    <w:rsid w:val="0BAF1235"/>
    <w:rsid w:val="0BB275A6"/>
    <w:rsid w:val="0BDD4FB0"/>
    <w:rsid w:val="0C3E6914"/>
    <w:rsid w:val="0C6C3047"/>
    <w:rsid w:val="0C7565A8"/>
    <w:rsid w:val="0CAD6525"/>
    <w:rsid w:val="0CC872A8"/>
    <w:rsid w:val="0CE155CB"/>
    <w:rsid w:val="0CED43FB"/>
    <w:rsid w:val="0D210971"/>
    <w:rsid w:val="0D37001E"/>
    <w:rsid w:val="0D3928BE"/>
    <w:rsid w:val="0D405202"/>
    <w:rsid w:val="0D6727FF"/>
    <w:rsid w:val="0D6E4F86"/>
    <w:rsid w:val="0D9A0604"/>
    <w:rsid w:val="0DA379EE"/>
    <w:rsid w:val="0DE63D10"/>
    <w:rsid w:val="0DFC36AD"/>
    <w:rsid w:val="0E1453FC"/>
    <w:rsid w:val="0E6A3D66"/>
    <w:rsid w:val="0E801890"/>
    <w:rsid w:val="0E9C416E"/>
    <w:rsid w:val="0EA21C23"/>
    <w:rsid w:val="0EF146A7"/>
    <w:rsid w:val="0F053AD3"/>
    <w:rsid w:val="0F4946D1"/>
    <w:rsid w:val="0F61365E"/>
    <w:rsid w:val="0FD4257E"/>
    <w:rsid w:val="0FD70A3F"/>
    <w:rsid w:val="0FE6742B"/>
    <w:rsid w:val="0FF12FDF"/>
    <w:rsid w:val="0FF314D7"/>
    <w:rsid w:val="1014226A"/>
    <w:rsid w:val="10152C44"/>
    <w:rsid w:val="102C137D"/>
    <w:rsid w:val="10332559"/>
    <w:rsid w:val="10431267"/>
    <w:rsid w:val="10687DDF"/>
    <w:rsid w:val="107759BB"/>
    <w:rsid w:val="107B2FAF"/>
    <w:rsid w:val="109E0A4B"/>
    <w:rsid w:val="10CD30DE"/>
    <w:rsid w:val="110B69CC"/>
    <w:rsid w:val="113F3B94"/>
    <w:rsid w:val="115E4FD3"/>
    <w:rsid w:val="116B4B73"/>
    <w:rsid w:val="11C343A8"/>
    <w:rsid w:val="11CB1D14"/>
    <w:rsid w:val="11E579A3"/>
    <w:rsid w:val="12100618"/>
    <w:rsid w:val="12B62D7F"/>
    <w:rsid w:val="12B75D5C"/>
    <w:rsid w:val="12D673A1"/>
    <w:rsid w:val="12E110C3"/>
    <w:rsid w:val="12FF7805"/>
    <w:rsid w:val="131B45D5"/>
    <w:rsid w:val="133826F0"/>
    <w:rsid w:val="136525A5"/>
    <w:rsid w:val="136F0D23"/>
    <w:rsid w:val="137B0967"/>
    <w:rsid w:val="13BE1CB6"/>
    <w:rsid w:val="13E23345"/>
    <w:rsid w:val="13FF9570"/>
    <w:rsid w:val="140F6CD8"/>
    <w:rsid w:val="142259AD"/>
    <w:rsid w:val="143134CE"/>
    <w:rsid w:val="14711B9F"/>
    <w:rsid w:val="14A92FE1"/>
    <w:rsid w:val="14AC3033"/>
    <w:rsid w:val="14B3099F"/>
    <w:rsid w:val="14B60DBE"/>
    <w:rsid w:val="14DD6852"/>
    <w:rsid w:val="14E5131D"/>
    <w:rsid w:val="15212909"/>
    <w:rsid w:val="152C6320"/>
    <w:rsid w:val="155658B8"/>
    <w:rsid w:val="159A6A11"/>
    <w:rsid w:val="15A038B8"/>
    <w:rsid w:val="15A738B8"/>
    <w:rsid w:val="15CB509B"/>
    <w:rsid w:val="15CD5408"/>
    <w:rsid w:val="15CF1FB8"/>
    <w:rsid w:val="15EC2259"/>
    <w:rsid w:val="166766FD"/>
    <w:rsid w:val="168129A1"/>
    <w:rsid w:val="16814633"/>
    <w:rsid w:val="16A411B1"/>
    <w:rsid w:val="16AB662C"/>
    <w:rsid w:val="16AC2613"/>
    <w:rsid w:val="16AF39B2"/>
    <w:rsid w:val="16D05BF8"/>
    <w:rsid w:val="16F63D3C"/>
    <w:rsid w:val="171A3829"/>
    <w:rsid w:val="17316B01"/>
    <w:rsid w:val="174724F7"/>
    <w:rsid w:val="1751381D"/>
    <w:rsid w:val="178A6269"/>
    <w:rsid w:val="179700E2"/>
    <w:rsid w:val="17BE9B20"/>
    <w:rsid w:val="17D6307D"/>
    <w:rsid w:val="17EC425D"/>
    <w:rsid w:val="17ECC66A"/>
    <w:rsid w:val="17F84EE5"/>
    <w:rsid w:val="180748E2"/>
    <w:rsid w:val="18215A56"/>
    <w:rsid w:val="184C6E69"/>
    <w:rsid w:val="18953CCD"/>
    <w:rsid w:val="189E3CDE"/>
    <w:rsid w:val="18ED4BE6"/>
    <w:rsid w:val="18F02389"/>
    <w:rsid w:val="19047787"/>
    <w:rsid w:val="193A52A0"/>
    <w:rsid w:val="193E1025"/>
    <w:rsid w:val="194523AC"/>
    <w:rsid w:val="1969544D"/>
    <w:rsid w:val="19B629D4"/>
    <w:rsid w:val="19C972F9"/>
    <w:rsid w:val="19D3098F"/>
    <w:rsid w:val="19D8090C"/>
    <w:rsid w:val="19E641DE"/>
    <w:rsid w:val="19FB3199"/>
    <w:rsid w:val="19FEFED1"/>
    <w:rsid w:val="1A033C1A"/>
    <w:rsid w:val="1A0E455F"/>
    <w:rsid w:val="1A182DF0"/>
    <w:rsid w:val="1A282B86"/>
    <w:rsid w:val="1A5A1E87"/>
    <w:rsid w:val="1A700A12"/>
    <w:rsid w:val="1A965070"/>
    <w:rsid w:val="1AB41EA3"/>
    <w:rsid w:val="1B0612A8"/>
    <w:rsid w:val="1B077EE7"/>
    <w:rsid w:val="1B142621"/>
    <w:rsid w:val="1B1F09DB"/>
    <w:rsid w:val="1B32070E"/>
    <w:rsid w:val="1B69745E"/>
    <w:rsid w:val="1B6B0D73"/>
    <w:rsid w:val="1B7F2AE9"/>
    <w:rsid w:val="1B90327A"/>
    <w:rsid w:val="1BB074A7"/>
    <w:rsid w:val="1BB4747C"/>
    <w:rsid w:val="1BB8C628"/>
    <w:rsid w:val="1BBB39A1"/>
    <w:rsid w:val="1BC34195"/>
    <w:rsid w:val="1BD8567E"/>
    <w:rsid w:val="1BDF22F2"/>
    <w:rsid w:val="1C312724"/>
    <w:rsid w:val="1C366EC8"/>
    <w:rsid w:val="1C4D7F52"/>
    <w:rsid w:val="1C805614"/>
    <w:rsid w:val="1CA71F00"/>
    <w:rsid w:val="1CBD3FFE"/>
    <w:rsid w:val="1CBE2FD4"/>
    <w:rsid w:val="1CC35F1C"/>
    <w:rsid w:val="1CDC7546"/>
    <w:rsid w:val="1CF33ECD"/>
    <w:rsid w:val="1D0258A9"/>
    <w:rsid w:val="1D2251D7"/>
    <w:rsid w:val="1D481109"/>
    <w:rsid w:val="1D5361AD"/>
    <w:rsid w:val="1DAA4ED3"/>
    <w:rsid w:val="1DE226F6"/>
    <w:rsid w:val="1DFE3406"/>
    <w:rsid w:val="1E756385"/>
    <w:rsid w:val="1E8B1FEC"/>
    <w:rsid w:val="1EB11921"/>
    <w:rsid w:val="1EB91754"/>
    <w:rsid w:val="1EC4217D"/>
    <w:rsid w:val="1EF9C54E"/>
    <w:rsid w:val="1F4B0664"/>
    <w:rsid w:val="1F592C68"/>
    <w:rsid w:val="1F642775"/>
    <w:rsid w:val="1F6DF702"/>
    <w:rsid w:val="1F7C289F"/>
    <w:rsid w:val="1F7FE508"/>
    <w:rsid w:val="1F8B2AE2"/>
    <w:rsid w:val="1F916AB3"/>
    <w:rsid w:val="1F953961"/>
    <w:rsid w:val="1FB1659D"/>
    <w:rsid w:val="1FC55C88"/>
    <w:rsid w:val="1FF05635"/>
    <w:rsid w:val="1FF31CF7"/>
    <w:rsid w:val="1FFE333D"/>
    <w:rsid w:val="201E3E0C"/>
    <w:rsid w:val="20257881"/>
    <w:rsid w:val="2058178A"/>
    <w:rsid w:val="20895606"/>
    <w:rsid w:val="20C37337"/>
    <w:rsid w:val="20F16975"/>
    <w:rsid w:val="20FA40ED"/>
    <w:rsid w:val="21084DEC"/>
    <w:rsid w:val="211E7A7D"/>
    <w:rsid w:val="2139763B"/>
    <w:rsid w:val="21450638"/>
    <w:rsid w:val="21544BE2"/>
    <w:rsid w:val="215E2E47"/>
    <w:rsid w:val="21997692"/>
    <w:rsid w:val="219B6301"/>
    <w:rsid w:val="21A13C4D"/>
    <w:rsid w:val="21CB3390"/>
    <w:rsid w:val="21D25E3F"/>
    <w:rsid w:val="21E23A88"/>
    <w:rsid w:val="21F44DAC"/>
    <w:rsid w:val="220E03B9"/>
    <w:rsid w:val="221922E6"/>
    <w:rsid w:val="2219440B"/>
    <w:rsid w:val="222D5B7B"/>
    <w:rsid w:val="22393715"/>
    <w:rsid w:val="22635651"/>
    <w:rsid w:val="227E0543"/>
    <w:rsid w:val="22A00653"/>
    <w:rsid w:val="22CE1644"/>
    <w:rsid w:val="23012AA5"/>
    <w:rsid w:val="23126B17"/>
    <w:rsid w:val="23197760"/>
    <w:rsid w:val="23607DE2"/>
    <w:rsid w:val="23975438"/>
    <w:rsid w:val="23CB5866"/>
    <w:rsid w:val="23D62EBF"/>
    <w:rsid w:val="23EC3B4C"/>
    <w:rsid w:val="23EC7CB0"/>
    <w:rsid w:val="23F27D7B"/>
    <w:rsid w:val="240E3358"/>
    <w:rsid w:val="24257906"/>
    <w:rsid w:val="243E45C7"/>
    <w:rsid w:val="244260AD"/>
    <w:rsid w:val="247229E8"/>
    <w:rsid w:val="24871919"/>
    <w:rsid w:val="249F2727"/>
    <w:rsid w:val="24D5612F"/>
    <w:rsid w:val="24EE778A"/>
    <w:rsid w:val="25323BFF"/>
    <w:rsid w:val="253E2E7F"/>
    <w:rsid w:val="253E4BFC"/>
    <w:rsid w:val="2562372C"/>
    <w:rsid w:val="25652B73"/>
    <w:rsid w:val="257D21C8"/>
    <w:rsid w:val="257D7D42"/>
    <w:rsid w:val="25890B8B"/>
    <w:rsid w:val="25893995"/>
    <w:rsid w:val="25922659"/>
    <w:rsid w:val="26252D3B"/>
    <w:rsid w:val="264B2FCC"/>
    <w:rsid w:val="265C7550"/>
    <w:rsid w:val="26BF8E80"/>
    <w:rsid w:val="26C80178"/>
    <w:rsid w:val="26D8095A"/>
    <w:rsid w:val="272D1C75"/>
    <w:rsid w:val="273566E0"/>
    <w:rsid w:val="27367DB0"/>
    <w:rsid w:val="275344C2"/>
    <w:rsid w:val="276A122F"/>
    <w:rsid w:val="27752CC6"/>
    <w:rsid w:val="27A07C73"/>
    <w:rsid w:val="27A651C9"/>
    <w:rsid w:val="27AE2E87"/>
    <w:rsid w:val="27B572E1"/>
    <w:rsid w:val="27D8516B"/>
    <w:rsid w:val="27FE3BCB"/>
    <w:rsid w:val="2858552C"/>
    <w:rsid w:val="288E6BD5"/>
    <w:rsid w:val="28A2213D"/>
    <w:rsid w:val="28B0060B"/>
    <w:rsid w:val="28BB5D28"/>
    <w:rsid w:val="28C03598"/>
    <w:rsid w:val="28DB1529"/>
    <w:rsid w:val="28F15BC1"/>
    <w:rsid w:val="28FB3D1E"/>
    <w:rsid w:val="29146F2D"/>
    <w:rsid w:val="29283896"/>
    <w:rsid w:val="292B1457"/>
    <w:rsid w:val="293D309F"/>
    <w:rsid w:val="2944442E"/>
    <w:rsid w:val="29513A7E"/>
    <w:rsid w:val="29625B64"/>
    <w:rsid w:val="29770FFB"/>
    <w:rsid w:val="29E67538"/>
    <w:rsid w:val="2A110D2B"/>
    <w:rsid w:val="2A1C3F0A"/>
    <w:rsid w:val="2A2312FE"/>
    <w:rsid w:val="2A2657D5"/>
    <w:rsid w:val="2A457487"/>
    <w:rsid w:val="2AAD2577"/>
    <w:rsid w:val="2ABB78CF"/>
    <w:rsid w:val="2AD40F00"/>
    <w:rsid w:val="2AD76E2A"/>
    <w:rsid w:val="2AF771F4"/>
    <w:rsid w:val="2AF91248"/>
    <w:rsid w:val="2B0E3227"/>
    <w:rsid w:val="2B1054A1"/>
    <w:rsid w:val="2B706BA4"/>
    <w:rsid w:val="2B7515AC"/>
    <w:rsid w:val="2B8F423A"/>
    <w:rsid w:val="2BFE4350"/>
    <w:rsid w:val="2BFF2F3A"/>
    <w:rsid w:val="2BFF5A07"/>
    <w:rsid w:val="2C223A0F"/>
    <w:rsid w:val="2C471B3F"/>
    <w:rsid w:val="2CB431B9"/>
    <w:rsid w:val="2CBB717D"/>
    <w:rsid w:val="2CDA5AF8"/>
    <w:rsid w:val="2CE12129"/>
    <w:rsid w:val="2CFC4180"/>
    <w:rsid w:val="2D37707D"/>
    <w:rsid w:val="2D3F7BCD"/>
    <w:rsid w:val="2D5E35E4"/>
    <w:rsid w:val="2D812430"/>
    <w:rsid w:val="2DBD47AF"/>
    <w:rsid w:val="2DBF82EC"/>
    <w:rsid w:val="2DDE6026"/>
    <w:rsid w:val="2DFD1FB1"/>
    <w:rsid w:val="2DFFC2AB"/>
    <w:rsid w:val="2E431884"/>
    <w:rsid w:val="2E7C01C6"/>
    <w:rsid w:val="2E90020C"/>
    <w:rsid w:val="2EA245EF"/>
    <w:rsid w:val="2EAB7223"/>
    <w:rsid w:val="2EAD0EC5"/>
    <w:rsid w:val="2EB77450"/>
    <w:rsid w:val="2EC92CDF"/>
    <w:rsid w:val="2ED753FC"/>
    <w:rsid w:val="2EDC2A13"/>
    <w:rsid w:val="2EE753F6"/>
    <w:rsid w:val="2EF27E76"/>
    <w:rsid w:val="2F0C3A34"/>
    <w:rsid w:val="2F115758"/>
    <w:rsid w:val="2F306818"/>
    <w:rsid w:val="2F421E9F"/>
    <w:rsid w:val="2F57B80A"/>
    <w:rsid w:val="2F7701F4"/>
    <w:rsid w:val="2F83700A"/>
    <w:rsid w:val="2FCC6774"/>
    <w:rsid w:val="2FCF30BB"/>
    <w:rsid w:val="2FD52BB2"/>
    <w:rsid w:val="2FDF5CAC"/>
    <w:rsid w:val="2FEE46DB"/>
    <w:rsid w:val="2FEFAAF3"/>
    <w:rsid w:val="2FF02B05"/>
    <w:rsid w:val="30321580"/>
    <w:rsid w:val="3034173B"/>
    <w:rsid w:val="305875FE"/>
    <w:rsid w:val="30941EE4"/>
    <w:rsid w:val="309542D5"/>
    <w:rsid w:val="30D45D84"/>
    <w:rsid w:val="30E038CF"/>
    <w:rsid w:val="31102C85"/>
    <w:rsid w:val="313B6BEC"/>
    <w:rsid w:val="315216B2"/>
    <w:rsid w:val="31562B39"/>
    <w:rsid w:val="31624D74"/>
    <w:rsid w:val="317C672F"/>
    <w:rsid w:val="31825375"/>
    <w:rsid w:val="31A72DD4"/>
    <w:rsid w:val="31E37965"/>
    <w:rsid w:val="31EF7B5C"/>
    <w:rsid w:val="31FAE00E"/>
    <w:rsid w:val="32572665"/>
    <w:rsid w:val="325A3079"/>
    <w:rsid w:val="325A6415"/>
    <w:rsid w:val="32627278"/>
    <w:rsid w:val="328178CA"/>
    <w:rsid w:val="32821FC4"/>
    <w:rsid w:val="32847D6D"/>
    <w:rsid w:val="32ABDA10"/>
    <w:rsid w:val="32B11D6B"/>
    <w:rsid w:val="32D37DB5"/>
    <w:rsid w:val="32FF7915"/>
    <w:rsid w:val="331E20AC"/>
    <w:rsid w:val="332A73EA"/>
    <w:rsid w:val="33983728"/>
    <w:rsid w:val="33A34936"/>
    <w:rsid w:val="33D5E67C"/>
    <w:rsid w:val="33D91377"/>
    <w:rsid w:val="34071D68"/>
    <w:rsid w:val="343B70D4"/>
    <w:rsid w:val="34693182"/>
    <w:rsid w:val="346A2930"/>
    <w:rsid w:val="348D4D8F"/>
    <w:rsid w:val="34B61205"/>
    <w:rsid w:val="34CC64BD"/>
    <w:rsid w:val="34D00377"/>
    <w:rsid w:val="34E92F3F"/>
    <w:rsid w:val="34FA1E45"/>
    <w:rsid w:val="34FF481B"/>
    <w:rsid w:val="351F5D4F"/>
    <w:rsid w:val="35233181"/>
    <w:rsid w:val="357EEE2E"/>
    <w:rsid w:val="35C4598D"/>
    <w:rsid w:val="360635C0"/>
    <w:rsid w:val="361F74C5"/>
    <w:rsid w:val="363C12D6"/>
    <w:rsid w:val="364E04BA"/>
    <w:rsid w:val="366F53B2"/>
    <w:rsid w:val="368E0145"/>
    <w:rsid w:val="369B2589"/>
    <w:rsid w:val="369E54F7"/>
    <w:rsid w:val="36C418A2"/>
    <w:rsid w:val="36C51DB4"/>
    <w:rsid w:val="36DF2BA5"/>
    <w:rsid w:val="36E51695"/>
    <w:rsid w:val="371B7F38"/>
    <w:rsid w:val="3740018C"/>
    <w:rsid w:val="375B3FD0"/>
    <w:rsid w:val="375C659B"/>
    <w:rsid w:val="378F705B"/>
    <w:rsid w:val="37AB4837"/>
    <w:rsid w:val="37BD621F"/>
    <w:rsid w:val="37C16C4A"/>
    <w:rsid w:val="37E5976F"/>
    <w:rsid w:val="37FE0197"/>
    <w:rsid w:val="383C63DD"/>
    <w:rsid w:val="385201EA"/>
    <w:rsid w:val="386D476C"/>
    <w:rsid w:val="388E270B"/>
    <w:rsid w:val="389D141B"/>
    <w:rsid w:val="3904606F"/>
    <w:rsid w:val="39256838"/>
    <w:rsid w:val="39454E51"/>
    <w:rsid w:val="394713D0"/>
    <w:rsid w:val="394F0285"/>
    <w:rsid w:val="39585C49"/>
    <w:rsid w:val="396D662C"/>
    <w:rsid w:val="397A0981"/>
    <w:rsid w:val="397F11FB"/>
    <w:rsid w:val="39882264"/>
    <w:rsid w:val="398B699D"/>
    <w:rsid w:val="39A148C7"/>
    <w:rsid w:val="39A256FA"/>
    <w:rsid w:val="39B53883"/>
    <w:rsid w:val="3A040F3C"/>
    <w:rsid w:val="3A192D6D"/>
    <w:rsid w:val="3A1A63DF"/>
    <w:rsid w:val="3A3B7A62"/>
    <w:rsid w:val="3A5610EA"/>
    <w:rsid w:val="3A5B32CD"/>
    <w:rsid w:val="3A7F3AB6"/>
    <w:rsid w:val="3A8B75BA"/>
    <w:rsid w:val="3A900B55"/>
    <w:rsid w:val="3AB74E7B"/>
    <w:rsid w:val="3AD44EE6"/>
    <w:rsid w:val="3AD7E7A5"/>
    <w:rsid w:val="3ADB3D07"/>
    <w:rsid w:val="3AF83C8C"/>
    <w:rsid w:val="3B1654FE"/>
    <w:rsid w:val="3B1E4680"/>
    <w:rsid w:val="3B2A71FC"/>
    <w:rsid w:val="3B537311"/>
    <w:rsid w:val="3B7E6473"/>
    <w:rsid w:val="3B9E40F9"/>
    <w:rsid w:val="3BBA4D52"/>
    <w:rsid w:val="3BD74519"/>
    <w:rsid w:val="3BDC16AF"/>
    <w:rsid w:val="3BE52A39"/>
    <w:rsid w:val="3BE84E70"/>
    <w:rsid w:val="3BFB6FAE"/>
    <w:rsid w:val="3C1825A4"/>
    <w:rsid w:val="3C1E46D5"/>
    <w:rsid w:val="3C96689A"/>
    <w:rsid w:val="3CFF8120"/>
    <w:rsid w:val="3D1D17B6"/>
    <w:rsid w:val="3D4109B2"/>
    <w:rsid w:val="3D4B4EAB"/>
    <w:rsid w:val="3D4D2D2E"/>
    <w:rsid w:val="3D627C3E"/>
    <w:rsid w:val="3D7FE9B7"/>
    <w:rsid w:val="3D98044D"/>
    <w:rsid w:val="3D9A62B6"/>
    <w:rsid w:val="3D9B618F"/>
    <w:rsid w:val="3D9E6CBA"/>
    <w:rsid w:val="3DAB63D2"/>
    <w:rsid w:val="3DB65977"/>
    <w:rsid w:val="3DF32DF4"/>
    <w:rsid w:val="3DFF0FE2"/>
    <w:rsid w:val="3E310271"/>
    <w:rsid w:val="3E636CAD"/>
    <w:rsid w:val="3E6E11AD"/>
    <w:rsid w:val="3E7E7642"/>
    <w:rsid w:val="3E807EF2"/>
    <w:rsid w:val="3E9950E6"/>
    <w:rsid w:val="3E9FDC00"/>
    <w:rsid w:val="3EBF7396"/>
    <w:rsid w:val="3ECA0FAD"/>
    <w:rsid w:val="3ED54B2F"/>
    <w:rsid w:val="3EEFC2EB"/>
    <w:rsid w:val="3EF545D4"/>
    <w:rsid w:val="3F2D1834"/>
    <w:rsid w:val="3F3101B5"/>
    <w:rsid w:val="3F477F32"/>
    <w:rsid w:val="3F732378"/>
    <w:rsid w:val="3F7B2D8C"/>
    <w:rsid w:val="3F87756C"/>
    <w:rsid w:val="3FBFB2C1"/>
    <w:rsid w:val="3FC62645"/>
    <w:rsid w:val="3FCB7D3B"/>
    <w:rsid w:val="3FD87226"/>
    <w:rsid w:val="3FDA6FFE"/>
    <w:rsid w:val="3FE26C71"/>
    <w:rsid w:val="3FFBD45F"/>
    <w:rsid w:val="3FFE7BA2"/>
    <w:rsid w:val="400A0B64"/>
    <w:rsid w:val="40112738"/>
    <w:rsid w:val="401D5FC7"/>
    <w:rsid w:val="40224BB0"/>
    <w:rsid w:val="40623BB7"/>
    <w:rsid w:val="4064171F"/>
    <w:rsid w:val="406C7E62"/>
    <w:rsid w:val="4081373D"/>
    <w:rsid w:val="40996ECE"/>
    <w:rsid w:val="409C1FA4"/>
    <w:rsid w:val="40A50042"/>
    <w:rsid w:val="40D95004"/>
    <w:rsid w:val="40F73B40"/>
    <w:rsid w:val="410417E6"/>
    <w:rsid w:val="410C42C2"/>
    <w:rsid w:val="412D70DB"/>
    <w:rsid w:val="41356D39"/>
    <w:rsid w:val="41586871"/>
    <w:rsid w:val="418A4550"/>
    <w:rsid w:val="41AF1E20"/>
    <w:rsid w:val="41B700BE"/>
    <w:rsid w:val="41C06DDF"/>
    <w:rsid w:val="41D57EC1"/>
    <w:rsid w:val="41E33AEE"/>
    <w:rsid w:val="421B6683"/>
    <w:rsid w:val="421D0A44"/>
    <w:rsid w:val="42282FC7"/>
    <w:rsid w:val="422C2EE7"/>
    <w:rsid w:val="42303B5B"/>
    <w:rsid w:val="423975C1"/>
    <w:rsid w:val="4240099C"/>
    <w:rsid w:val="42705E47"/>
    <w:rsid w:val="42764C03"/>
    <w:rsid w:val="428708B5"/>
    <w:rsid w:val="428B3ABA"/>
    <w:rsid w:val="4296196A"/>
    <w:rsid w:val="42C10479"/>
    <w:rsid w:val="42DC25A8"/>
    <w:rsid w:val="42E5038C"/>
    <w:rsid w:val="433E48A1"/>
    <w:rsid w:val="435A59B1"/>
    <w:rsid w:val="43DBE997"/>
    <w:rsid w:val="43E06794"/>
    <w:rsid w:val="440E7F9D"/>
    <w:rsid w:val="44250560"/>
    <w:rsid w:val="44344E80"/>
    <w:rsid w:val="44377C79"/>
    <w:rsid w:val="44380257"/>
    <w:rsid w:val="444D4739"/>
    <w:rsid w:val="446E7C5F"/>
    <w:rsid w:val="448564A3"/>
    <w:rsid w:val="448F7185"/>
    <w:rsid w:val="449776B0"/>
    <w:rsid w:val="44AE027F"/>
    <w:rsid w:val="44B32010"/>
    <w:rsid w:val="44BE2E8F"/>
    <w:rsid w:val="44EF24B6"/>
    <w:rsid w:val="450703F9"/>
    <w:rsid w:val="4510761C"/>
    <w:rsid w:val="452438BF"/>
    <w:rsid w:val="453677FF"/>
    <w:rsid w:val="455523D4"/>
    <w:rsid w:val="455671BE"/>
    <w:rsid w:val="455D45C9"/>
    <w:rsid w:val="457B7A6B"/>
    <w:rsid w:val="457F787C"/>
    <w:rsid w:val="459C4C27"/>
    <w:rsid w:val="45CC15DB"/>
    <w:rsid w:val="45EC21FE"/>
    <w:rsid w:val="46064E49"/>
    <w:rsid w:val="46297193"/>
    <w:rsid w:val="46380EA2"/>
    <w:rsid w:val="46466945"/>
    <w:rsid w:val="466D1874"/>
    <w:rsid w:val="46780545"/>
    <w:rsid w:val="469043B7"/>
    <w:rsid w:val="46BA58D8"/>
    <w:rsid w:val="46CA4706"/>
    <w:rsid w:val="46DC584E"/>
    <w:rsid w:val="46F31C44"/>
    <w:rsid w:val="46FA3A85"/>
    <w:rsid w:val="47541888"/>
    <w:rsid w:val="475573AE"/>
    <w:rsid w:val="475F2220"/>
    <w:rsid w:val="475F6B28"/>
    <w:rsid w:val="47AC5D2C"/>
    <w:rsid w:val="47B37EF8"/>
    <w:rsid w:val="47E81FD1"/>
    <w:rsid w:val="47FD5CB7"/>
    <w:rsid w:val="47FFF59F"/>
    <w:rsid w:val="48210086"/>
    <w:rsid w:val="48353277"/>
    <w:rsid w:val="48353A66"/>
    <w:rsid w:val="485A6BE0"/>
    <w:rsid w:val="48C22822"/>
    <w:rsid w:val="48C81442"/>
    <w:rsid w:val="491846CB"/>
    <w:rsid w:val="491945BD"/>
    <w:rsid w:val="49295C0D"/>
    <w:rsid w:val="493127F7"/>
    <w:rsid w:val="4932504A"/>
    <w:rsid w:val="495A414A"/>
    <w:rsid w:val="49956B2C"/>
    <w:rsid w:val="499D42D0"/>
    <w:rsid w:val="49D54780"/>
    <w:rsid w:val="4A525E27"/>
    <w:rsid w:val="4A83059A"/>
    <w:rsid w:val="4ADF3B5F"/>
    <w:rsid w:val="4AF56EDE"/>
    <w:rsid w:val="4B5C107E"/>
    <w:rsid w:val="4B6F0C0A"/>
    <w:rsid w:val="4BA9144B"/>
    <w:rsid w:val="4BBD529A"/>
    <w:rsid w:val="4BC002BD"/>
    <w:rsid w:val="4BE807F1"/>
    <w:rsid w:val="4C186974"/>
    <w:rsid w:val="4C293FCF"/>
    <w:rsid w:val="4C602076"/>
    <w:rsid w:val="4C7D6CC5"/>
    <w:rsid w:val="4C9A1035"/>
    <w:rsid w:val="4C9E5360"/>
    <w:rsid w:val="4CA42A33"/>
    <w:rsid w:val="4CC00BCE"/>
    <w:rsid w:val="4CC65240"/>
    <w:rsid w:val="4CCC5FA3"/>
    <w:rsid w:val="4CDA3DEF"/>
    <w:rsid w:val="4CEF4CA8"/>
    <w:rsid w:val="4CFF585E"/>
    <w:rsid w:val="4D3C100D"/>
    <w:rsid w:val="4D56487E"/>
    <w:rsid w:val="4D721995"/>
    <w:rsid w:val="4D8E784E"/>
    <w:rsid w:val="4D94711C"/>
    <w:rsid w:val="4DC572DA"/>
    <w:rsid w:val="4DC808DA"/>
    <w:rsid w:val="4DDF38F1"/>
    <w:rsid w:val="4DF711BF"/>
    <w:rsid w:val="4E3D0C3F"/>
    <w:rsid w:val="4E55DC1B"/>
    <w:rsid w:val="4E7416CB"/>
    <w:rsid w:val="4E7A4E88"/>
    <w:rsid w:val="4E7F5F2E"/>
    <w:rsid w:val="4EBD5F65"/>
    <w:rsid w:val="4EBE56A0"/>
    <w:rsid w:val="4EC30082"/>
    <w:rsid w:val="4ED14027"/>
    <w:rsid w:val="4EF609BE"/>
    <w:rsid w:val="4EFB766D"/>
    <w:rsid w:val="4F28431D"/>
    <w:rsid w:val="4F4421E2"/>
    <w:rsid w:val="4F451EFA"/>
    <w:rsid w:val="4F620CCD"/>
    <w:rsid w:val="4F660E4F"/>
    <w:rsid w:val="4F786EFC"/>
    <w:rsid w:val="4F7F35ED"/>
    <w:rsid w:val="4F97F24A"/>
    <w:rsid w:val="4F9E30E2"/>
    <w:rsid w:val="4FC81AB6"/>
    <w:rsid w:val="4FC955C3"/>
    <w:rsid w:val="4FC955E3"/>
    <w:rsid w:val="4FD71F3E"/>
    <w:rsid w:val="4FE55A96"/>
    <w:rsid w:val="4FE79ABF"/>
    <w:rsid w:val="4FE81398"/>
    <w:rsid w:val="500D786D"/>
    <w:rsid w:val="503822FE"/>
    <w:rsid w:val="50533347"/>
    <w:rsid w:val="506C0F75"/>
    <w:rsid w:val="507234D9"/>
    <w:rsid w:val="50844312"/>
    <w:rsid w:val="50856264"/>
    <w:rsid w:val="508948E5"/>
    <w:rsid w:val="50A75D18"/>
    <w:rsid w:val="50AF2244"/>
    <w:rsid w:val="50B05148"/>
    <w:rsid w:val="50B53FBE"/>
    <w:rsid w:val="50CA399C"/>
    <w:rsid w:val="50CB0E83"/>
    <w:rsid w:val="50D3331D"/>
    <w:rsid w:val="50E6185A"/>
    <w:rsid w:val="50FD1FCA"/>
    <w:rsid w:val="510309E5"/>
    <w:rsid w:val="5167665C"/>
    <w:rsid w:val="516A3A56"/>
    <w:rsid w:val="519138FA"/>
    <w:rsid w:val="51F64CB1"/>
    <w:rsid w:val="52297EF2"/>
    <w:rsid w:val="5249383B"/>
    <w:rsid w:val="5273380C"/>
    <w:rsid w:val="52CB49C9"/>
    <w:rsid w:val="52E63682"/>
    <w:rsid w:val="52EF40ED"/>
    <w:rsid w:val="530C34C1"/>
    <w:rsid w:val="533573F7"/>
    <w:rsid w:val="534222E1"/>
    <w:rsid w:val="53567573"/>
    <w:rsid w:val="536E11E4"/>
    <w:rsid w:val="53A13367"/>
    <w:rsid w:val="53B222F9"/>
    <w:rsid w:val="53CB2ED2"/>
    <w:rsid w:val="53D97C99"/>
    <w:rsid w:val="53DF552A"/>
    <w:rsid w:val="53FCF52A"/>
    <w:rsid w:val="5435497A"/>
    <w:rsid w:val="54492049"/>
    <w:rsid w:val="546F2C29"/>
    <w:rsid w:val="54B01375"/>
    <w:rsid w:val="54ED6937"/>
    <w:rsid w:val="54FE4BE1"/>
    <w:rsid w:val="550565D4"/>
    <w:rsid w:val="55115317"/>
    <w:rsid w:val="553964A2"/>
    <w:rsid w:val="555250C2"/>
    <w:rsid w:val="555718A0"/>
    <w:rsid w:val="558346D3"/>
    <w:rsid w:val="559317C9"/>
    <w:rsid w:val="55AB3BAD"/>
    <w:rsid w:val="55D8633C"/>
    <w:rsid w:val="55E40DAC"/>
    <w:rsid w:val="55F253AA"/>
    <w:rsid w:val="55F63222"/>
    <w:rsid w:val="55F84CE8"/>
    <w:rsid w:val="56384F6E"/>
    <w:rsid w:val="563A2710"/>
    <w:rsid w:val="564E4841"/>
    <w:rsid w:val="56AF0889"/>
    <w:rsid w:val="56BA1E1F"/>
    <w:rsid w:val="56DA179D"/>
    <w:rsid w:val="56F51D94"/>
    <w:rsid w:val="57014E5D"/>
    <w:rsid w:val="570B1D0C"/>
    <w:rsid w:val="57542D95"/>
    <w:rsid w:val="575541D7"/>
    <w:rsid w:val="57883D23"/>
    <w:rsid w:val="5799F0CD"/>
    <w:rsid w:val="579F3F38"/>
    <w:rsid w:val="57DCC23B"/>
    <w:rsid w:val="57F22D43"/>
    <w:rsid w:val="57F74724"/>
    <w:rsid w:val="588418A2"/>
    <w:rsid w:val="588E6508"/>
    <w:rsid w:val="58E42D1D"/>
    <w:rsid w:val="59114DD8"/>
    <w:rsid w:val="592A069B"/>
    <w:rsid w:val="594421BB"/>
    <w:rsid w:val="594524EF"/>
    <w:rsid w:val="594F1D54"/>
    <w:rsid w:val="59527BF2"/>
    <w:rsid w:val="595B49E7"/>
    <w:rsid w:val="595C5227"/>
    <w:rsid w:val="5963617B"/>
    <w:rsid w:val="597D4C6F"/>
    <w:rsid w:val="59B42737"/>
    <w:rsid w:val="59E4254F"/>
    <w:rsid w:val="59F21C00"/>
    <w:rsid w:val="59FDFEF2"/>
    <w:rsid w:val="59FF8A06"/>
    <w:rsid w:val="5A451531"/>
    <w:rsid w:val="5A555BBE"/>
    <w:rsid w:val="5A5A0BD4"/>
    <w:rsid w:val="5A685873"/>
    <w:rsid w:val="5A697C7E"/>
    <w:rsid w:val="5A7725B2"/>
    <w:rsid w:val="5A776550"/>
    <w:rsid w:val="5A79031F"/>
    <w:rsid w:val="5A7E085F"/>
    <w:rsid w:val="5AA862C2"/>
    <w:rsid w:val="5ABFD69F"/>
    <w:rsid w:val="5AE10BA2"/>
    <w:rsid w:val="5B192DE9"/>
    <w:rsid w:val="5B579E81"/>
    <w:rsid w:val="5B5D7E1A"/>
    <w:rsid w:val="5B922491"/>
    <w:rsid w:val="5BAA5FA3"/>
    <w:rsid w:val="5BB37170"/>
    <w:rsid w:val="5BC12FED"/>
    <w:rsid w:val="5BD67B62"/>
    <w:rsid w:val="5BDB844D"/>
    <w:rsid w:val="5BED4BFC"/>
    <w:rsid w:val="5BF25889"/>
    <w:rsid w:val="5BFD30FD"/>
    <w:rsid w:val="5BFFEE43"/>
    <w:rsid w:val="5C0870DF"/>
    <w:rsid w:val="5C1EF3AF"/>
    <w:rsid w:val="5C252EE1"/>
    <w:rsid w:val="5C793EFB"/>
    <w:rsid w:val="5CED210B"/>
    <w:rsid w:val="5CF527A3"/>
    <w:rsid w:val="5CF9A4EF"/>
    <w:rsid w:val="5D1A7137"/>
    <w:rsid w:val="5D4F4CD8"/>
    <w:rsid w:val="5D5977A1"/>
    <w:rsid w:val="5D6F0D72"/>
    <w:rsid w:val="5D7F697E"/>
    <w:rsid w:val="5DE86A07"/>
    <w:rsid w:val="5E04700C"/>
    <w:rsid w:val="5E0648A7"/>
    <w:rsid w:val="5E09107B"/>
    <w:rsid w:val="5E0D0017"/>
    <w:rsid w:val="5E1F0D94"/>
    <w:rsid w:val="5E394EDC"/>
    <w:rsid w:val="5E453881"/>
    <w:rsid w:val="5E505345"/>
    <w:rsid w:val="5E663E7B"/>
    <w:rsid w:val="5E6A5D46"/>
    <w:rsid w:val="5E7F2E0C"/>
    <w:rsid w:val="5E852A2B"/>
    <w:rsid w:val="5E8E131D"/>
    <w:rsid w:val="5E987B1D"/>
    <w:rsid w:val="5EAB603E"/>
    <w:rsid w:val="5EB010E6"/>
    <w:rsid w:val="5EBEF5C8"/>
    <w:rsid w:val="5ECF10BB"/>
    <w:rsid w:val="5ECF1B47"/>
    <w:rsid w:val="5EDF286E"/>
    <w:rsid w:val="5F0E45BB"/>
    <w:rsid w:val="5F15112E"/>
    <w:rsid w:val="5F271A1F"/>
    <w:rsid w:val="5F3C2ED6"/>
    <w:rsid w:val="5F42EA54"/>
    <w:rsid w:val="5F4E479B"/>
    <w:rsid w:val="5F5DD332"/>
    <w:rsid w:val="5F697EE8"/>
    <w:rsid w:val="5F7FCE7D"/>
    <w:rsid w:val="5F7FEE71"/>
    <w:rsid w:val="5F9F9504"/>
    <w:rsid w:val="5FAA5CF4"/>
    <w:rsid w:val="5FBBDFFB"/>
    <w:rsid w:val="5FDC329F"/>
    <w:rsid w:val="5FE01AB3"/>
    <w:rsid w:val="5FEA90A8"/>
    <w:rsid w:val="5FF432C2"/>
    <w:rsid w:val="5FFB3B6D"/>
    <w:rsid w:val="5FFB9F6C"/>
    <w:rsid w:val="5FFCB8C1"/>
    <w:rsid w:val="5FFE6C12"/>
    <w:rsid w:val="5FFEED4F"/>
    <w:rsid w:val="5FFF1780"/>
    <w:rsid w:val="600B6B75"/>
    <w:rsid w:val="60132DE4"/>
    <w:rsid w:val="60326D30"/>
    <w:rsid w:val="603F267B"/>
    <w:rsid w:val="604B7099"/>
    <w:rsid w:val="60980E01"/>
    <w:rsid w:val="60AA0313"/>
    <w:rsid w:val="60C9490B"/>
    <w:rsid w:val="60D42D7C"/>
    <w:rsid w:val="60D80EDF"/>
    <w:rsid w:val="60DB1C4C"/>
    <w:rsid w:val="61573869"/>
    <w:rsid w:val="61596A8D"/>
    <w:rsid w:val="616563B2"/>
    <w:rsid w:val="616B3B9D"/>
    <w:rsid w:val="61973664"/>
    <w:rsid w:val="61A62889"/>
    <w:rsid w:val="61B6665A"/>
    <w:rsid w:val="61C55405"/>
    <w:rsid w:val="61C64A0E"/>
    <w:rsid w:val="61D92445"/>
    <w:rsid w:val="61E54345"/>
    <w:rsid w:val="61F34F7E"/>
    <w:rsid w:val="61F950AE"/>
    <w:rsid w:val="62140502"/>
    <w:rsid w:val="62172BB5"/>
    <w:rsid w:val="62233ED9"/>
    <w:rsid w:val="622A5268"/>
    <w:rsid w:val="623720B9"/>
    <w:rsid w:val="62814FD2"/>
    <w:rsid w:val="62875486"/>
    <w:rsid w:val="62A465C7"/>
    <w:rsid w:val="62D1082D"/>
    <w:rsid w:val="62D64101"/>
    <w:rsid w:val="62DC3E7F"/>
    <w:rsid w:val="62DC55C0"/>
    <w:rsid w:val="62F84AC4"/>
    <w:rsid w:val="62FC72F4"/>
    <w:rsid w:val="630670EC"/>
    <w:rsid w:val="63136B1F"/>
    <w:rsid w:val="631B25A8"/>
    <w:rsid w:val="632F69CC"/>
    <w:rsid w:val="63336829"/>
    <w:rsid w:val="635D7461"/>
    <w:rsid w:val="636F40F1"/>
    <w:rsid w:val="63795CCD"/>
    <w:rsid w:val="63841B73"/>
    <w:rsid w:val="639F1C49"/>
    <w:rsid w:val="63D757F1"/>
    <w:rsid w:val="63DD1C69"/>
    <w:rsid w:val="641036CB"/>
    <w:rsid w:val="642D5F69"/>
    <w:rsid w:val="643E259B"/>
    <w:rsid w:val="6461518D"/>
    <w:rsid w:val="6486408C"/>
    <w:rsid w:val="64AA7A10"/>
    <w:rsid w:val="64DD2FE4"/>
    <w:rsid w:val="64DE18E8"/>
    <w:rsid w:val="64F41105"/>
    <w:rsid w:val="64F658D5"/>
    <w:rsid w:val="64F94D48"/>
    <w:rsid w:val="65180AF8"/>
    <w:rsid w:val="65500499"/>
    <w:rsid w:val="65782624"/>
    <w:rsid w:val="65BF0E82"/>
    <w:rsid w:val="65C05087"/>
    <w:rsid w:val="65C47781"/>
    <w:rsid w:val="65CC4D1D"/>
    <w:rsid w:val="65D4527D"/>
    <w:rsid w:val="65E518E4"/>
    <w:rsid w:val="65E79EF2"/>
    <w:rsid w:val="662E5667"/>
    <w:rsid w:val="663E0BF4"/>
    <w:rsid w:val="664E3EC5"/>
    <w:rsid w:val="66B14AAB"/>
    <w:rsid w:val="66BB3C93"/>
    <w:rsid w:val="66BD65F1"/>
    <w:rsid w:val="66D47E98"/>
    <w:rsid w:val="66D57819"/>
    <w:rsid w:val="66DD4F9F"/>
    <w:rsid w:val="66F24016"/>
    <w:rsid w:val="67140294"/>
    <w:rsid w:val="67220C03"/>
    <w:rsid w:val="67263872"/>
    <w:rsid w:val="67422B02"/>
    <w:rsid w:val="67567BE5"/>
    <w:rsid w:val="675E7762"/>
    <w:rsid w:val="678E479A"/>
    <w:rsid w:val="67B24694"/>
    <w:rsid w:val="67BC609B"/>
    <w:rsid w:val="67C95523"/>
    <w:rsid w:val="67FC3283"/>
    <w:rsid w:val="67FD652A"/>
    <w:rsid w:val="68112ADA"/>
    <w:rsid w:val="68616285"/>
    <w:rsid w:val="68812DA4"/>
    <w:rsid w:val="68914293"/>
    <w:rsid w:val="689E4967"/>
    <w:rsid w:val="68AD0CCF"/>
    <w:rsid w:val="68CDF215"/>
    <w:rsid w:val="68D86FEB"/>
    <w:rsid w:val="691D3B46"/>
    <w:rsid w:val="692B7A37"/>
    <w:rsid w:val="6948576C"/>
    <w:rsid w:val="695D32A8"/>
    <w:rsid w:val="695F3B77"/>
    <w:rsid w:val="697ED089"/>
    <w:rsid w:val="69842120"/>
    <w:rsid w:val="699E0216"/>
    <w:rsid w:val="69A26117"/>
    <w:rsid w:val="69B13883"/>
    <w:rsid w:val="69C02F35"/>
    <w:rsid w:val="69C20A63"/>
    <w:rsid w:val="69CD3731"/>
    <w:rsid w:val="69F6E7F1"/>
    <w:rsid w:val="6A15449D"/>
    <w:rsid w:val="6A1A162E"/>
    <w:rsid w:val="6A3008E0"/>
    <w:rsid w:val="6A4021D8"/>
    <w:rsid w:val="6A4B4537"/>
    <w:rsid w:val="6A5C2394"/>
    <w:rsid w:val="6A5F2753"/>
    <w:rsid w:val="6ABA24C6"/>
    <w:rsid w:val="6AE24654"/>
    <w:rsid w:val="6AFA607C"/>
    <w:rsid w:val="6B2F0F2B"/>
    <w:rsid w:val="6B347553"/>
    <w:rsid w:val="6B7068D7"/>
    <w:rsid w:val="6B77103C"/>
    <w:rsid w:val="6B7E6B96"/>
    <w:rsid w:val="6B843095"/>
    <w:rsid w:val="6B8FA36D"/>
    <w:rsid w:val="6BE85984"/>
    <w:rsid w:val="6BEC17E0"/>
    <w:rsid w:val="6BFA7971"/>
    <w:rsid w:val="6BFC1014"/>
    <w:rsid w:val="6C032026"/>
    <w:rsid w:val="6C037118"/>
    <w:rsid w:val="6C7563DF"/>
    <w:rsid w:val="6C793548"/>
    <w:rsid w:val="6CA1DA52"/>
    <w:rsid w:val="6D1A54F0"/>
    <w:rsid w:val="6D1F7E3A"/>
    <w:rsid w:val="6D374F86"/>
    <w:rsid w:val="6D8053C3"/>
    <w:rsid w:val="6D8F45DB"/>
    <w:rsid w:val="6DA265FA"/>
    <w:rsid w:val="6DB34CEB"/>
    <w:rsid w:val="6DB81974"/>
    <w:rsid w:val="6DBDBABD"/>
    <w:rsid w:val="6DD733CE"/>
    <w:rsid w:val="6DDFCBBA"/>
    <w:rsid w:val="6DE30DE0"/>
    <w:rsid w:val="6DE65BA3"/>
    <w:rsid w:val="6DE77FDB"/>
    <w:rsid w:val="6DE9321C"/>
    <w:rsid w:val="6DEF0D1B"/>
    <w:rsid w:val="6DFE5138"/>
    <w:rsid w:val="6E0650EF"/>
    <w:rsid w:val="6E0C43BB"/>
    <w:rsid w:val="6E1732CA"/>
    <w:rsid w:val="6E2EEB4E"/>
    <w:rsid w:val="6E3904DB"/>
    <w:rsid w:val="6E3A5F81"/>
    <w:rsid w:val="6E4C47B8"/>
    <w:rsid w:val="6E564512"/>
    <w:rsid w:val="6E6A4988"/>
    <w:rsid w:val="6E9F9ADB"/>
    <w:rsid w:val="6EA14B04"/>
    <w:rsid w:val="6EAD14EE"/>
    <w:rsid w:val="6EBF36B1"/>
    <w:rsid w:val="6EBF51DC"/>
    <w:rsid w:val="6EC35CE7"/>
    <w:rsid w:val="6EE8132F"/>
    <w:rsid w:val="6EF3EF09"/>
    <w:rsid w:val="6F3A4CB1"/>
    <w:rsid w:val="6F656188"/>
    <w:rsid w:val="6F78732B"/>
    <w:rsid w:val="6FA75CEA"/>
    <w:rsid w:val="6FD985FF"/>
    <w:rsid w:val="6FEEBE7B"/>
    <w:rsid w:val="6FF13E8D"/>
    <w:rsid w:val="6FF6057A"/>
    <w:rsid w:val="6FF60D7F"/>
    <w:rsid w:val="6FF9CD3E"/>
    <w:rsid w:val="6FFF1246"/>
    <w:rsid w:val="6FFF38FF"/>
    <w:rsid w:val="6FFF4E02"/>
    <w:rsid w:val="6FFF8B7D"/>
    <w:rsid w:val="70185799"/>
    <w:rsid w:val="7046283D"/>
    <w:rsid w:val="70590E33"/>
    <w:rsid w:val="705A17F8"/>
    <w:rsid w:val="70696811"/>
    <w:rsid w:val="707F9063"/>
    <w:rsid w:val="708F7F54"/>
    <w:rsid w:val="70A24F15"/>
    <w:rsid w:val="70AD7537"/>
    <w:rsid w:val="70C74717"/>
    <w:rsid w:val="70CC53D1"/>
    <w:rsid w:val="70D64ACC"/>
    <w:rsid w:val="70E70925"/>
    <w:rsid w:val="70F643F7"/>
    <w:rsid w:val="70FD1404"/>
    <w:rsid w:val="70FF5F05"/>
    <w:rsid w:val="71833BD0"/>
    <w:rsid w:val="719A0BB7"/>
    <w:rsid w:val="71A845E4"/>
    <w:rsid w:val="71BE95FE"/>
    <w:rsid w:val="72124F97"/>
    <w:rsid w:val="72374A3F"/>
    <w:rsid w:val="724F270E"/>
    <w:rsid w:val="72531906"/>
    <w:rsid w:val="726522EC"/>
    <w:rsid w:val="726619E2"/>
    <w:rsid w:val="729836BF"/>
    <w:rsid w:val="72CA1653"/>
    <w:rsid w:val="72E755D2"/>
    <w:rsid w:val="731004AA"/>
    <w:rsid w:val="73173E2E"/>
    <w:rsid w:val="731755C9"/>
    <w:rsid w:val="731B1CFB"/>
    <w:rsid w:val="731D17F8"/>
    <w:rsid w:val="73261F61"/>
    <w:rsid w:val="733FAD19"/>
    <w:rsid w:val="73516CDB"/>
    <w:rsid w:val="735D0D8C"/>
    <w:rsid w:val="737E5EBB"/>
    <w:rsid w:val="738113A0"/>
    <w:rsid w:val="738549F4"/>
    <w:rsid w:val="73A143B8"/>
    <w:rsid w:val="73A46746"/>
    <w:rsid w:val="73B01E4B"/>
    <w:rsid w:val="73B02B11"/>
    <w:rsid w:val="73B30C45"/>
    <w:rsid w:val="73CB68E0"/>
    <w:rsid w:val="73CBD7D6"/>
    <w:rsid w:val="73DBA7CA"/>
    <w:rsid w:val="73DDB053"/>
    <w:rsid w:val="73E47231"/>
    <w:rsid w:val="73F6D1FE"/>
    <w:rsid w:val="73FF08EB"/>
    <w:rsid w:val="74325266"/>
    <w:rsid w:val="74351375"/>
    <w:rsid w:val="74425A77"/>
    <w:rsid w:val="74557335"/>
    <w:rsid w:val="7461100D"/>
    <w:rsid w:val="74736397"/>
    <w:rsid w:val="74AD0101"/>
    <w:rsid w:val="74B53FE0"/>
    <w:rsid w:val="74C514BD"/>
    <w:rsid w:val="74D231A8"/>
    <w:rsid w:val="74DB0954"/>
    <w:rsid w:val="74E920C5"/>
    <w:rsid w:val="74F34607"/>
    <w:rsid w:val="750BF332"/>
    <w:rsid w:val="75722D56"/>
    <w:rsid w:val="757350D2"/>
    <w:rsid w:val="75825BCB"/>
    <w:rsid w:val="75E914E0"/>
    <w:rsid w:val="75FD1071"/>
    <w:rsid w:val="75FF4D97"/>
    <w:rsid w:val="760B1A49"/>
    <w:rsid w:val="7629B897"/>
    <w:rsid w:val="76495766"/>
    <w:rsid w:val="765406AD"/>
    <w:rsid w:val="766964A3"/>
    <w:rsid w:val="76A20C6A"/>
    <w:rsid w:val="76AE068B"/>
    <w:rsid w:val="76BFDAFD"/>
    <w:rsid w:val="76C010E3"/>
    <w:rsid w:val="76FD7861"/>
    <w:rsid w:val="76FF0475"/>
    <w:rsid w:val="77031578"/>
    <w:rsid w:val="77107706"/>
    <w:rsid w:val="77407E24"/>
    <w:rsid w:val="77477B66"/>
    <w:rsid w:val="77550B7C"/>
    <w:rsid w:val="775A6197"/>
    <w:rsid w:val="777789B3"/>
    <w:rsid w:val="77A646EE"/>
    <w:rsid w:val="77ABBA9E"/>
    <w:rsid w:val="77BAB806"/>
    <w:rsid w:val="77BDBAF2"/>
    <w:rsid w:val="77C81353"/>
    <w:rsid w:val="77DF1E38"/>
    <w:rsid w:val="77DF6393"/>
    <w:rsid w:val="77E45CCE"/>
    <w:rsid w:val="77EBE7E4"/>
    <w:rsid w:val="77EC519A"/>
    <w:rsid w:val="77EF3313"/>
    <w:rsid w:val="77F04406"/>
    <w:rsid w:val="77FA66B5"/>
    <w:rsid w:val="77FB2E0E"/>
    <w:rsid w:val="78030C0D"/>
    <w:rsid w:val="780D320A"/>
    <w:rsid w:val="78153022"/>
    <w:rsid w:val="782642CC"/>
    <w:rsid w:val="782E09E2"/>
    <w:rsid w:val="787648A7"/>
    <w:rsid w:val="78877F1D"/>
    <w:rsid w:val="788F25FD"/>
    <w:rsid w:val="78AA0FB2"/>
    <w:rsid w:val="78B2790D"/>
    <w:rsid w:val="78CE5280"/>
    <w:rsid w:val="78D67AA0"/>
    <w:rsid w:val="78E977D3"/>
    <w:rsid w:val="78FAFA59"/>
    <w:rsid w:val="7912390B"/>
    <w:rsid w:val="79180D6A"/>
    <w:rsid w:val="79232399"/>
    <w:rsid w:val="792D7313"/>
    <w:rsid w:val="79385B87"/>
    <w:rsid w:val="79406591"/>
    <w:rsid w:val="79415644"/>
    <w:rsid w:val="794A3243"/>
    <w:rsid w:val="795E2574"/>
    <w:rsid w:val="797057FE"/>
    <w:rsid w:val="797AA848"/>
    <w:rsid w:val="79990BA0"/>
    <w:rsid w:val="79B85C40"/>
    <w:rsid w:val="79D6C6E8"/>
    <w:rsid w:val="79DC6531"/>
    <w:rsid w:val="79FF8323"/>
    <w:rsid w:val="7A2912C6"/>
    <w:rsid w:val="7A391CBB"/>
    <w:rsid w:val="7A3921BD"/>
    <w:rsid w:val="7A4F3F08"/>
    <w:rsid w:val="7A5D7213"/>
    <w:rsid w:val="7A695F3F"/>
    <w:rsid w:val="7A6BB264"/>
    <w:rsid w:val="7A74D92C"/>
    <w:rsid w:val="7A773114"/>
    <w:rsid w:val="7A8B6F6D"/>
    <w:rsid w:val="7ADF73FA"/>
    <w:rsid w:val="7AF551EA"/>
    <w:rsid w:val="7B1A0118"/>
    <w:rsid w:val="7B510186"/>
    <w:rsid w:val="7B640A94"/>
    <w:rsid w:val="7B6A0FC6"/>
    <w:rsid w:val="7B7712BA"/>
    <w:rsid w:val="7BBF7D2D"/>
    <w:rsid w:val="7BBFBDD9"/>
    <w:rsid w:val="7BDF0F0E"/>
    <w:rsid w:val="7BDFD9EA"/>
    <w:rsid w:val="7BE73057"/>
    <w:rsid w:val="7BFFBA14"/>
    <w:rsid w:val="7BFFFDF0"/>
    <w:rsid w:val="7C042B76"/>
    <w:rsid w:val="7C63789C"/>
    <w:rsid w:val="7C961A20"/>
    <w:rsid w:val="7CC11C19"/>
    <w:rsid w:val="7CD03A2F"/>
    <w:rsid w:val="7CD673E6"/>
    <w:rsid w:val="7CF04396"/>
    <w:rsid w:val="7CF401B4"/>
    <w:rsid w:val="7CF86A7C"/>
    <w:rsid w:val="7CFE9A73"/>
    <w:rsid w:val="7CFF6711"/>
    <w:rsid w:val="7D0B72D7"/>
    <w:rsid w:val="7D27D221"/>
    <w:rsid w:val="7D3924E1"/>
    <w:rsid w:val="7D6B282B"/>
    <w:rsid w:val="7D72477A"/>
    <w:rsid w:val="7D913F95"/>
    <w:rsid w:val="7D9B55EE"/>
    <w:rsid w:val="7DAA5F1C"/>
    <w:rsid w:val="7DBF4391"/>
    <w:rsid w:val="7DDF1E58"/>
    <w:rsid w:val="7DDF6B79"/>
    <w:rsid w:val="7DDFD140"/>
    <w:rsid w:val="7DED7670"/>
    <w:rsid w:val="7DF63207"/>
    <w:rsid w:val="7DF8A239"/>
    <w:rsid w:val="7DFBA90A"/>
    <w:rsid w:val="7DFE55FF"/>
    <w:rsid w:val="7DFE65B0"/>
    <w:rsid w:val="7DFF71A5"/>
    <w:rsid w:val="7E052833"/>
    <w:rsid w:val="7E1664EC"/>
    <w:rsid w:val="7E1A21DD"/>
    <w:rsid w:val="7E3FD544"/>
    <w:rsid w:val="7E414658"/>
    <w:rsid w:val="7E50097B"/>
    <w:rsid w:val="7E5A696A"/>
    <w:rsid w:val="7E5F5996"/>
    <w:rsid w:val="7E684FE0"/>
    <w:rsid w:val="7E976E76"/>
    <w:rsid w:val="7E9B3C8F"/>
    <w:rsid w:val="7E9FF47D"/>
    <w:rsid w:val="7EA63C5A"/>
    <w:rsid w:val="7EA6506C"/>
    <w:rsid w:val="7EC76812"/>
    <w:rsid w:val="7EE07FBC"/>
    <w:rsid w:val="7EF6BA1B"/>
    <w:rsid w:val="7EFF7C28"/>
    <w:rsid w:val="7EFFB51D"/>
    <w:rsid w:val="7F3344D2"/>
    <w:rsid w:val="7F374BD2"/>
    <w:rsid w:val="7F3EF109"/>
    <w:rsid w:val="7F3FA9E6"/>
    <w:rsid w:val="7F412798"/>
    <w:rsid w:val="7F56C5CB"/>
    <w:rsid w:val="7F613DD0"/>
    <w:rsid w:val="7F642662"/>
    <w:rsid w:val="7F65EC78"/>
    <w:rsid w:val="7F6F2316"/>
    <w:rsid w:val="7F6FDE85"/>
    <w:rsid w:val="7F7BA113"/>
    <w:rsid w:val="7F7CD479"/>
    <w:rsid w:val="7F7FD183"/>
    <w:rsid w:val="7F8E7414"/>
    <w:rsid w:val="7F9FBAF7"/>
    <w:rsid w:val="7FAB0DC6"/>
    <w:rsid w:val="7FB33C48"/>
    <w:rsid w:val="7FC42C6F"/>
    <w:rsid w:val="7FC70D26"/>
    <w:rsid w:val="7FCD7385"/>
    <w:rsid w:val="7FCE0A7B"/>
    <w:rsid w:val="7FD10921"/>
    <w:rsid w:val="7FDFA58C"/>
    <w:rsid w:val="7FDFC67D"/>
    <w:rsid w:val="7FE26D6E"/>
    <w:rsid w:val="7FE9BE57"/>
    <w:rsid w:val="7FF3521E"/>
    <w:rsid w:val="7FF4E795"/>
    <w:rsid w:val="7FF74440"/>
    <w:rsid w:val="7FF77983"/>
    <w:rsid w:val="7FFA3EF9"/>
    <w:rsid w:val="7FFAEA40"/>
    <w:rsid w:val="7FFB05A8"/>
    <w:rsid w:val="7FFDB997"/>
    <w:rsid w:val="7FFDBA6F"/>
    <w:rsid w:val="7FFF1FF6"/>
    <w:rsid w:val="7FFF78DC"/>
    <w:rsid w:val="7FFF7DC9"/>
    <w:rsid w:val="8F3F1F3D"/>
    <w:rsid w:val="99DF7708"/>
    <w:rsid w:val="9AD0BC1C"/>
    <w:rsid w:val="9B77B767"/>
    <w:rsid w:val="9CBFEA14"/>
    <w:rsid w:val="9D72D5BA"/>
    <w:rsid w:val="9DEF280E"/>
    <w:rsid w:val="9DFEEF3A"/>
    <w:rsid w:val="9E6B7339"/>
    <w:rsid w:val="9EFFE6E8"/>
    <w:rsid w:val="9F5D977D"/>
    <w:rsid w:val="9FFF52DD"/>
    <w:rsid w:val="A1F34BD9"/>
    <w:rsid w:val="A3BEC521"/>
    <w:rsid w:val="A473835B"/>
    <w:rsid w:val="A6FC09BA"/>
    <w:rsid w:val="AAFC54E8"/>
    <w:rsid w:val="ACFFC1AE"/>
    <w:rsid w:val="AEF76386"/>
    <w:rsid w:val="AEFF1721"/>
    <w:rsid w:val="AF6FD3DE"/>
    <w:rsid w:val="AF7F57D0"/>
    <w:rsid w:val="AFDE11E1"/>
    <w:rsid w:val="AFFA4E97"/>
    <w:rsid w:val="AFFEFBE6"/>
    <w:rsid w:val="AFFFDCA8"/>
    <w:rsid w:val="B0BC83CE"/>
    <w:rsid w:val="B3B959F4"/>
    <w:rsid w:val="B5D796BD"/>
    <w:rsid w:val="B5FF93D4"/>
    <w:rsid w:val="B7278174"/>
    <w:rsid w:val="B7DF6920"/>
    <w:rsid w:val="BA77B80C"/>
    <w:rsid w:val="BA7B23C6"/>
    <w:rsid w:val="BB7E507B"/>
    <w:rsid w:val="BBBD0F18"/>
    <w:rsid w:val="BBCE6A08"/>
    <w:rsid w:val="BBDBB49A"/>
    <w:rsid w:val="BBEBA678"/>
    <w:rsid w:val="BD159B47"/>
    <w:rsid w:val="BD5F9C39"/>
    <w:rsid w:val="BDBAC8D3"/>
    <w:rsid w:val="BDBF3C4C"/>
    <w:rsid w:val="BDDF1D90"/>
    <w:rsid w:val="BDFF569A"/>
    <w:rsid w:val="BDFF7D51"/>
    <w:rsid w:val="BE332371"/>
    <w:rsid w:val="BEEF4F54"/>
    <w:rsid w:val="BEFA91F8"/>
    <w:rsid w:val="BF5E30CB"/>
    <w:rsid w:val="BFBFF975"/>
    <w:rsid w:val="BFDF4577"/>
    <w:rsid w:val="BFE0A2C8"/>
    <w:rsid w:val="BFEFE7E1"/>
    <w:rsid w:val="BFF1AB59"/>
    <w:rsid w:val="BFFF23D7"/>
    <w:rsid w:val="C3B70622"/>
    <w:rsid w:val="C4B7CC1C"/>
    <w:rsid w:val="C52D4053"/>
    <w:rsid w:val="C557193B"/>
    <w:rsid w:val="C6FF6AF0"/>
    <w:rsid w:val="C7E75DCE"/>
    <w:rsid w:val="CBEF6020"/>
    <w:rsid w:val="CD1ED750"/>
    <w:rsid w:val="CFFADD31"/>
    <w:rsid w:val="D0D7AE05"/>
    <w:rsid w:val="D13EFE29"/>
    <w:rsid w:val="D176162E"/>
    <w:rsid w:val="D176FE36"/>
    <w:rsid w:val="D27BA209"/>
    <w:rsid w:val="D2FBD6E4"/>
    <w:rsid w:val="D47FAF2C"/>
    <w:rsid w:val="D6A7B808"/>
    <w:rsid w:val="D6DFF190"/>
    <w:rsid w:val="D7CFD767"/>
    <w:rsid w:val="D7FF1CED"/>
    <w:rsid w:val="D96F6EA3"/>
    <w:rsid w:val="DB7F0A3B"/>
    <w:rsid w:val="DBD754C0"/>
    <w:rsid w:val="DBEFC53B"/>
    <w:rsid w:val="DBFC3819"/>
    <w:rsid w:val="DBFF13D9"/>
    <w:rsid w:val="DCDCBD2E"/>
    <w:rsid w:val="DD7F91FF"/>
    <w:rsid w:val="DD87AC26"/>
    <w:rsid w:val="DDD7C64C"/>
    <w:rsid w:val="DDEF84CC"/>
    <w:rsid w:val="DDF9E743"/>
    <w:rsid w:val="DDFB2829"/>
    <w:rsid w:val="DE776E97"/>
    <w:rsid w:val="DEBD6FBE"/>
    <w:rsid w:val="DECF2995"/>
    <w:rsid w:val="DF3E572B"/>
    <w:rsid w:val="DF5EB9D7"/>
    <w:rsid w:val="DF7EFC34"/>
    <w:rsid w:val="DF9F823D"/>
    <w:rsid w:val="DFBE840B"/>
    <w:rsid w:val="DFF31655"/>
    <w:rsid w:val="DFF33E34"/>
    <w:rsid w:val="DFFE22AA"/>
    <w:rsid w:val="DFFF2A30"/>
    <w:rsid w:val="DFFF84C9"/>
    <w:rsid w:val="E3933C23"/>
    <w:rsid w:val="E4FEAD11"/>
    <w:rsid w:val="E5FE16B2"/>
    <w:rsid w:val="E6A99FDA"/>
    <w:rsid w:val="E6D79DB9"/>
    <w:rsid w:val="E6FB339E"/>
    <w:rsid w:val="E7675636"/>
    <w:rsid w:val="E7BFA7C5"/>
    <w:rsid w:val="E8BB4510"/>
    <w:rsid w:val="E96B3B4D"/>
    <w:rsid w:val="EA8F4B62"/>
    <w:rsid w:val="EAEFF623"/>
    <w:rsid w:val="EB3CE8B4"/>
    <w:rsid w:val="EBEF5A26"/>
    <w:rsid w:val="ED8B1048"/>
    <w:rsid w:val="EDCF953F"/>
    <w:rsid w:val="EDEDCE19"/>
    <w:rsid w:val="EE4F8CA7"/>
    <w:rsid w:val="EEA5AFD2"/>
    <w:rsid w:val="EEBD427A"/>
    <w:rsid w:val="EEEEBC80"/>
    <w:rsid w:val="EF7370BD"/>
    <w:rsid w:val="EF739962"/>
    <w:rsid w:val="EF7DB1B0"/>
    <w:rsid w:val="EF7F9619"/>
    <w:rsid w:val="EFF1C90F"/>
    <w:rsid w:val="EFF726FE"/>
    <w:rsid w:val="EFFB5498"/>
    <w:rsid w:val="F1771572"/>
    <w:rsid w:val="F22F0E4B"/>
    <w:rsid w:val="F2F0090F"/>
    <w:rsid w:val="F3BFD672"/>
    <w:rsid w:val="F49D257D"/>
    <w:rsid w:val="F4FF4D52"/>
    <w:rsid w:val="F5DDDDF9"/>
    <w:rsid w:val="F5EF4CE2"/>
    <w:rsid w:val="F5F76D0E"/>
    <w:rsid w:val="F6F1A6B9"/>
    <w:rsid w:val="F6F6E3DE"/>
    <w:rsid w:val="F6FE73CB"/>
    <w:rsid w:val="F732AC09"/>
    <w:rsid w:val="F7396B9E"/>
    <w:rsid w:val="F7A34AFD"/>
    <w:rsid w:val="F7BEA3A8"/>
    <w:rsid w:val="F7D59AC5"/>
    <w:rsid w:val="F7DE316A"/>
    <w:rsid w:val="F7DF7768"/>
    <w:rsid w:val="F7DFD6F7"/>
    <w:rsid w:val="F7E7E79E"/>
    <w:rsid w:val="F7FEC24A"/>
    <w:rsid w:val="F7FEFFFB"/>
    <w:rsid w:val="F83F357C"/>
    <w:rsid w:val="F96B792C"/>
    <w:rsid w:val="F96FD6A8"/>
    <w:rsid w:val="F9C729BB"/>
    <w:rsid w:val="F9FEC6B5"/>
    <w:rsid w:val="FA1FE0CE"/>
    <w:rsid w:val="FA7DCAB7"/>
    <w:rsid w:val="FAF20EF7"/>
    <w:rsid w:val="FB3B684F"/>
    <w:rsid w:val="FB3ED808"/>
    <w:rsid w:val="FB737563"/>
    <w:rsid w:val="FB9E9514"/>
    <w:rsid w:val="FBAF00D6"/>
    <w:rsid w:val="FBDBA6F9"/>
    <w:rsid w:val="FBDFA387"/>
    <w:rsid w:val="FBF7C807"/>
    <w:rsid w:val="FBFC0C31"/>
    <w:rsid w:val="FBFF4C7F"/>
    <w:rsid w:val="FCE36C2F"/>
    <w:rsid w:val="FD175450"/>
    <w:rsid w:val="FD4F8490"/>
    <w:rsid w:val="FD7D42ED"/>
    <w:rsid w:val="FD96F1F9"/>
    <w:rsid w:val="FDBBE7E9"/>
    <w:rsid w:val="FDCC5D92"/>
    <w:rsid w:val="FDDB0E04"/>
    <w:rsid w:val="FDDFABD4"/>
    <w:rsid w:val="FDF3B2B3"/>
    <w:rsid w:val="FDF7E316"/>
    <w:rsid w:val="FDF9C39F"/>
    <w:rsid w:val="FDFE1223"/>
    <w:rsid w:val="FDFF070B"/>
    <w:rsid w:val="FDFF3529"/>
    <w:rsid w:val="FDFF8655"/>
    <w:rsid w:val="FE6FD691"/>
    <w:rsid w:val="FE9EB501"/>
    <w:rsid w:val="FEA350BD"/>
    <w:rsid w:val="FEAF0EC4"/>
    <w:rsid w:val="FEEE8048"/>
    <w:rsid w:val="FEEF9B0A"/>
    <w:rsid w:val="FEFAC1F4"/>
    <w:rsid w:val="FF1D8218"/>
    <w:rsid w:val="FF3B3EAC"/>
    <w:rsid w:val="FF477F3B"/>
    <w:rsid w:val="FF4917E2"/>
    <w:rsid w:val="FF4A3800"/>
    <w:rsid w:val="FF5A93C2"/>
    <w:rsid w:val="FF5EDB19"/>
    <w:rsid w:val="FF6E178B"/>
    <w:rsid w:val="FF7F866E"/>
    <w:rsid w:val="FF7FC72D"/>
    <w:rsid w:val="FF7FDC6C"/>
    <w:rsid w:val="FF911BAB"/>
    <w:rsid w:val="FFAE883F"/>
    <w:rsid w:val="FFAF0F00"/>
    <w:rsid w:val="FFBF1F67"/>
    <w:rsid w:val="FFBF45F0"/>
    <w:rsid w:val="FFBFC5E6"/>
    <w:rsid w:val="FFCEA1F3"/>
    <w:rsid w:val="FFCEBA16"/>
    <w:rsid w:val="FFCF8511"/>
    <w:rsid w:val="FFDE10B8"/>
    <w:rsid w:val="FFE7004C"/>
    <w:rsid w:val="FFEB7359"/>
    <w:rsid w:val="FFEFA9EF"/>
    <w:rsid w:val="FFF25BE8"/>
    <w:rsid w:val="FFFA9034"/>
    <w:rsid w:val="FFFB299A"/>
    <w:rsid w:val="FFFD723B"/>
    <w:rsid w:val="FFFF218B"/>
    <w:rsid w:val="FFFF382F"/>
    <w:rsid w:val="FFFF87C7"/>
    <w:rsid w:val="FFFFD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qFormat/>
    <w:uiPriority w:val="0"/>
    <w:pPr>
      <w:spacing w:beforeAutospacing="1" w:afterAutospacing="1"/>
      <w:outlineLvl w:val="0"/>
    </w:pPr>
    <w:rPr>
      <w:rFonts w:hint="eastAsia" w:cs="Times New Roman"/>
      <w:b/>
      <w:kern w:val="44"/>
      <w:sz w:val="48"/>
      <w:szCs w:val="48"/>
    </w:rPr>
  </w:style>
  <w:style w:type="character" w:default="1" w:styleId="9">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qFormat/>
    <w:uiPriority w:val="0"/>
  </w:style>
  <w:style w:type="paragraph" w:styleId="4">
    <w:name w:val="Body Text"/>
    <w:basedOn w:val="1"/>
    <w:qFormat/>
    <w:uiPriority w:val="0"/>
    <w:pPr>
      <w:spacing w:after="60"/>
      <w:ind w:left="72" w:leftChars="30" w:right="72" w:rightChars="30"/>
      <w:jc w:val="center"/>
    </w:pPr>
  </w:style>
  <w:style w:type="paragraph" w:styleId="5">
    <w:name w:val="Balloon Text"/>
    <w:basedOn w:val="1"/>
    <w:link w:val="19"/>
    <w:qFormat/>
    <w:uiPriority w:val="0"/>
    <w:rPr>
      <w:sz w:val="18"/>
      <w:szCs w:val="18"/>
    </w:rPr>
  </w:style>
  <w:style w:type="paragraph" w:styleId="6">
    <w:name w:val="footer"/>
    <w:basedOn w:val="1"/>
    <w:qFormat/>
    <w:uiPriority w:val="0"/>
    <w:pPr>
      <w:tabs>
        <w:tab w:val="center" w:pos="4153"/>
        <w:tab w:val="right" w:pos="8306"/>
      </w:tabs>
      <w:snapToGrid w:val="0"/>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8">
    <w:name w:val="Normal (Web)"/>
    <w:basedOn w:val="1"/>
    <w:qFormat/>
    <w:uiPriority w:val="99"/>
    <w:pPr>
      <w:spacing w:beforeAutospacing="1" w:afterAutospacing="1"/>
    </w:pPr>
    <w:rPr>
      <w:rFonts w:cs="Times New Roman"/>
    </w:rPr>
  </w:style>
  <w:style w:type="character" w:styleId="10">
    <w:name w:val="Strong"/>
    <w:basedOn w:val="9"/>
    <w:qFormat/>
    <w:uiPriority w:val="22"/>
    <w:rPr>
      <w:b/>
    </w:rPr>
  </w:style>
  <w:style w:type="character" w:styleId="11">
    <w:name w:val="page number"/>
    <w:basedOn w:val="9"/>
    <w:qFormat/>
    <w:uiPriority w:val="0"/>
  </w:style>
  <w:style w:type="character" w:styleId="12">
    <w:name w:val="Emphasis"/>
    <w:basedOn w:val="9"/>
    <w:qFormat/>
    <w:uiPriority w:val="20"/>
    <w:rPr>
      <w:i/>
    </w:rPr>
  </w:style>
  <w:style w:type="character" w:customStyle="1" w:styleId="14">
    <w:name w:val="js_darkmode__2"/>
    <w:basedOn w:val="9"/>
    <w:qFormat/>
    <w:uiPriority w:val="0"/>
  </w:style>
  <w:style w:type="character" w:customStyle="1" w:styleId="15">
    <w:name w:val="js_darkmode__3"/>
    <w:basedOn w:val="9"/>
    <w:qFormat/>
    <w:uiPriority w:val="0"/>
  </w:style>
  <w:style w:type="character" w:customStyle="1" w:styleId="16">
    <w:name w:val="js_darkmode__4"/>
    <w:basedOn w:val="9"/>
    <w:qFormat/>
    <w:uiPriority w:val="0"/>
  </w:style>
  <w:style w:type="character" w:customStyle="1" w:styleId="17">
    <w:name w:val="js_darkmode__5"/>
    <w:basedOn w:val="9"/>
    <w:qFormat/>
    <w:uiPriority w:val="0"/>
  </w:style>
  <w:style w:type="paragraph" w:styleId="18">
    <w:name w:val="List Paragraph"/>
    <w:basedOn w:val="1"/>
    <w:qFormat/>
    <w:uiPriority w:val="99"/>
    <w:pPr>
      <w:ind w:firstLine="420" w:firstLineChars="200"/>
    </w:pPr>
  </w:style>
  <w:style w:type="character" w:customStyle="1" w:styleId="19">
    <w:name w:val="批注框文本 字符"/>
    <w:basedOn w:val="9"/>
    <w:link w:val="5"/>
    <w:qFormat/>
    <w:uiPriority w:val="0"/>
    <w:rPr>
      <w:rFonts w:ascii="宋体" w:hAnsi="宋体" w:cs="宋体"/>
      <w:sz w:val="18"/>
      <w:szCs w:val="18"/>
    </w:rPr>
  </w:style>
  <w:style w:type="character" w:customStyle="1" w:styleId="20">
    <w:name w:val="apple-converted-space"/>
    <w:basedOn w:val="9"/>
    <w:qFormat/>
    <w:uiPriority w:val="0"/>
  </w:style>
  <w:style w:type="character" w:customStyle="1" w:styleId="21">
    <w:name w:val="notice_header_subtitle_date"/>
    <w:basedOn w:val="9"/>
    <w:qFormat/>
    <w:uiPriority w:val="0"/>
  </w:style>
  <w:style w:type="character" w:customStyle="1" w:styleId="22">
    <w:name w:val="notice_header_subtitle_author"/>
    <w:basedOn w:val="9"/>
    <w:qFormat/>
    <w:uiPriority w:val="0"/>
  </w:style>
  <w:style w:type="character" w:customStyle="1" w:styleId="23">
    <w:name w:val="js_darkmode__19"/>
    <w:basedOn w:val="9"/>
    <w:qFormat/>
    <w:uiPriority w:val="0"/>
  </w:style>
  <w:style w:type="character" w:customStyle="1" w:styleId="24">
    <w:name w:val="js_darkmode__27"/>
    <w:basedOn w:val="9"/>
    <w:qFormat/>
    <w:uiPriority w:val="0"/>
  </w:style>
  <w:style w:type="character" w:customStyle="1" w:styleId="25">
    <w:name w:val="js_darkmode__35"/>
    <w:basedOn w:val="9"/>
    <w:qFormat/>
    <w:uiPriority w:val="0"/>
  </w:style>
  <w:style w:type="paragraph" w:customStyle="1" w:styleId="26">
    <w:name w:val="Revision"/>
    <w:hidden/>
    <w:semiHidden/>
    <w:qFormat/>
    <w:uiPriority w:val="99"/>
    <w:rPr>
      <w:rFonts w:ascii="宋体" w:hAnsi="宋体" w:eastAsia="宋体" w:cs="宋体"/>
      <w:sz w:val="24"/>
      <w:szCs w:val="24"/>
      <w:lang w:val="en-US" w:eastAsia="zh-CN" w:bidi="ar-SA"/>
    </w:rPr>
  </w:style>
  <w:style w:type="character" w:customStyle="1" w:styleId="27">
    <w:name w:val="wx_tap_link"/>
    <w:basedOn w:val="9"/>
    <w:qFormat/>
    <w:uiPriority w:val="0"/>
  </w:style>
  <w:style w:type="character" w:customStyle="1" w:styleId="28">
    <w:name w:val="rich_media_meta"/>
    <w:basedOn w:val="9"/>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5108</Words>
  <Characters>5271</Characters>
  <Lines>40</Lines>
  <Paragraphs>11</Paragraphs>
  <TotalTime>0</TotalTime>
  <ScaleCrop>false</ScaleCrop>
  <LinksUpToDate>false</LinksUpToDate>
  <CharactersWithSpaces>5289</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2022-04-18T21:49:00Z</dcterms:created>
  <dc:creator>user</dc:creator>
  <cp:lastModifiedBy>Administrator</cp:lastModifiedBy>
  <cp:lastPrinted>2022-07-01T14:03:00Z</cp:lastPrinted>
  <dcterms:modified xsi:type="dcterms:W3CDTF">2022-07-06T07:01:34Z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y fmtid="{D5CDD505-2E9C-101B-9397-08002B2CF9AE}" pid="3" name="ICV">
    <vt:lpwstr>4CA995EE91934D91973D26D077BA6BB4</vt:lpwstr>
  </property>
</Properties>
</file>