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附件1</w:t>
      </w:r>
    </w:p>
    <w:tbl>
      <w:tblPr>
        <w:tblStyle w:val="2"/>
        <w:tblW w:w="85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854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 xml:space="preserve"> 9家企业集团基本情况及财务决算审计中介机构其他要求</w:t>
            </w:r>
          </w:p>
          <w:p>
            <w:pPr>
              <w:widowControl/>
              <w:tabs>
                <w:tab w:val="left" w:pos="1961"/>
              </w:tabs>
              <w:jc w:val="center"/>
              <w:rPr>
                <w:rFonts w:eastAsia="宋体" w:cs="Times New Roman"/>
              </w:rPr>
            </w:pPr>
          </w:p>
        </w:tc>
      </w:tr>
    </w:tbl>
    <w:tbl>
      <w:tblPr>
        <w:tblStyle w:val="2"/>
        <w:tblpPr w:leftFromText="180" w:rightFromText="180" w:vertAnchor="text" w:horzAnchor="page" w:tblpXSpec="center" w:tblpY="208"/>
        <w:tblOverlap w:val="never"/>
        <w:tblW w:w="968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128"/>
        <w:gridCol w:w="1128"/>
        <w:gridCol w:w="846"/>
        <w:gridCol w:w="632"/>
        <w:gridCol w:w="611"/>
        <w:gridCol w:w="611"/>
        <w:gridCol w:w="42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合并总资产（亿元）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其中：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上市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其中：金融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总户数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（户）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最低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CPA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人数要求</w:t>
            </w: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其他要求（中介机构及项目主审）（注1）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上海联社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32.8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近3年有连续从事国有、集体企业主审经验。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上咨集团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8.07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近3年有连续从事建设咨询企业主审经验。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上海国投公司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21.19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1、近3年有连续从事国内主板上市公司及金融企业主审经验；2、具有大型投资机构、基金公司、重组兼并项目等主审经验。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东方国际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637.26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1、近3年有连续从事相应规模及以上上市公司及金融企业主审经验；2、有大型外贸企业主审经验；3、加入国际会计网络或国际会计联盟。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城建集团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1,426.45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1094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1、近3年有连续从事相应规模及以上上市公司主审经验；2、具有大型建筑施工类和房地产企业主审经验。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建工集团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3,296.74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3213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1、近3年有连续从事相应规模及以上上市公司主审经验；2、具有大型建筑施工类企业审计经验。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上海城投集团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6,886.59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1、近3年有连续从事相应规模及以上上市公司主审经验；2、近3年有从事大型基建项目（路、桥、水等）主审经验。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华谊集团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788.41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1、近3年有连续从事相应规模及以上化工制造业上市公司主审经验；2、加入国际会计网络或国际会计联盟。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临港集团(含工投）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1,322.88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1、近3年有连续从事相应规模及以上上市公司主审经验。</w:t>
            </w:r>
          </w:p>
        </w:tc>
      </w:tr>
    </w:tbl>
    <w:p>
      <w:pPr>
        <w:widowControl/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0"/>
          <w:szCs w:val="20"/>
        </w:rPr>
        <w:t>注1：企业规模参照《关于印发中小企业划型标准规定的通知》（工信部联企业〔2011〕300号）。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22722"/>
    <w:rsid w:val="5652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2021-10-15T09:55:00Z</dcterms:created>
  <dc:creator>user</dc:creator>
  <cp:lastModifiedBy>user</cp:lastModifiedBy>
  <dcterms:modified xsi:type="dcterms:W3CDTF">2021-10-15T09:55:30Z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