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sz w:val="32"/>
          <w:highlight w:val="none"/>
        </w:rPr>
      </w:pPr>
      <w:r>
        <w:rPr>
          <w:rFonts w:hint="eastAsia"/>
          <w:b/>
          <w:sz w:val="32"/>
          <w:highlight w:val="none"/>
        </w:rPr>
        <w:t>第2</w:t>
      </w:r>
      <w:r>
        <w:rPr>
          <w:rFonts w:hint="eastAsia"/>
          <w:b/>
          <w:sz w:val="32"/>
          <w:highlight w:val="none"/>
          <w:lang w:val="en-US" w:eastAsia="zh-CN"/>
        </w:rPr>
        <w:t>7</w:t>
      </w:r>
      <w:r>
        <w:rPr>
          <w:rFonts w:hint="eastAsia"/>
          <w:b/>
          <w:sz w:val="32"/>
          <w:highlight w:val="none"/>
        </w:rPr>
        <w:t>期</w:t>
      </w:r>
    </w:p>
    <w:p>
      <w:pPr>
        <w:widowControl w:val="0"/>
        <w:spacing w:line="480" w:lineRule="exact"/>
        <w:ind w:right="-101" w:rightChars="-42"/>
        <w:jc w:val="center"/>
        <w:rPr>
          <w:b/>
          <w:sz w:val="32"/>
          <w:highlight w:val="none"/>
        </w:rPr>
      </w:pPr>
    </w:p>
    <w:p>
      <w:pPr>
        <w:widowControl w:val="0"/>
        <w:spacing w:line="360" w:lineRule="exact"/>
        <w:ind w:right="-101" w:rightChars="-42"/>
        <w:rPr>
          <w:rFonts w:ascii="楷体_GB2312" w:eastAsia="楷体_GB2312"/>
          <w:b/>
          <w:spacing w:val="-14"/>
          <w:sz w:val="32"/>
          <w:highlight w:val="none"/>
        </w:rPr>
      </w:pPr>
      <w:r>
        <w:rPr>
          <w:rFonts w:hint="eastAsia" w:ascii="楷体_GB2312" w:eastAsia="楷体_GB2312"/>
          <w:spacing w:val="1"/>
          <w:w w:val="94"/>
          <w:kern w:val="0"/>
          <w:sz w:val="28"/>
          <w:highlight w:val="none"/>
          <w:fitText w:val="5040" w:id="-1531678206"/>
        </w:rPr>
        <w:t>上海市国有资产监督管理委员会党委办公</w:t>
      </w:r>
      <w:r>
        <w:rPr>
          <w:rFonts w:hint="eastAsia" w:ascii="楷体_GB2312" w:eastAsia="楷体_GB2312"/>
          <w:spacing w:val="19"/>
          <w:w w:val="94"/>
          <w:kern w:val="0"/>
          <w:sz w:val="28"/>
          <w:highlight w:val="none"/>
          <w:fitText w:val="5040" w:id="-1531678206"/>
        </w:rPr>
        <w:t>室</w:t>
      </w:r>
    </w:p>
    <w:p>
      <w:pPr>
        <w:widowControl w:val="0"/>
        <w:spacing w:line="360" w:lineRule="exact"/>
        <w:ind w:right="-101" w:rightChars="-42"/>
        <w:rPr>
          <w:rFonts w:ascii="楷体_GB2312" w:eastAsia="楷体_GB2312"/>
          <w:spacing w:val="-14"/>
          <w:sz w:val="28"/>
          <w:highlight w:val="none"/>
          <w:u w:val="single" w:color="FF0000"/>
        </w:rPr>
      </w:pPr>
      <w:r>
        <w:rPr>
          <w:rFonts w:hint="eastAsia" w:ascii="楷体_GB2312" w:eastAsia="楷体_GB2312"/>
          <w:spacing w:val="9"/>
          <w:kern w:val="0"/>
          <w:sz w:val="28"/>
          <w:highlight w:val="none"/>
          <w:u w:val="single" w:color="FF0000"/>
          <w:fitText w:val="5068" w:id="-1531678205"/>
        </w:rPr>
        <w:t>上海市国有资产监督管理委员会办公</w:t>
      </w:r>
      <w:r>
        <w:rPr>
          <w:rFonts w:hint="eastAsia" w:ascii="楷体_GB2312" w:eastAsia="楷体_GB2312"/>
          <w:spacing w:val="10"/>
          <w:kern w:val="0"/>
          <w:sz w:val="28"/>
          <w:highlight w:val="none"/>
          <w:u w:val="single" w:color="FF0000"/>
          <w:fitText w:val="5068" w:id="-1531678205"/>
        </w:rPr>
        <w:t>室</w:t>
      </w:r>
      <w:r>
        <w:rPr>
          <w:rFonts w:hint="eastAsia" w:ascii="楷体_GB2312" w:eastAsia="楷体_GB2312"/>
          <w:spacing w:val="-22"/>
          <w:sz w:val="28"/>
          <w:highlight w:val="none"/>
          <w:u w:val="single" w:color="FF0000"/>
        </w:rPr>
        <w:t xml:space="preserve">              </w:t>
      </w:r>
      <w:r>
        <w:rPr>
          <w:rFonts w:ascii="楷体_GB2312" w:eastAsia="楷体_GB2312"/>
          <w:spacing w:val="-14"/>
          <w:sz w:val="28"/>
          <w:highlight w:val="none"/>
          <w:u w:val="single" w:color="FF0000"/>
        </w:rPr>
        <w:t>20</w:t>
      </w:r>
      <w:r>
        <w:rPr>
          <w:rFonts w:hint="eastAsia" w:ascii="楷体_GB2312" w:eastAsia="楷体_GB2312"/>
          <w:spacing w:val="-14"/>
          <w:sz w:val="28"/>
          <w:highlight w:val="none"/>
          <w:u w:val="single" w:color="FF0000"/>
        </w:rPr>
        <w:t>22年7月</w:t>
      </w:r>
      <w:r>
        <w:rPr>
          <w:rFonts w:hint="eastAsia" w:ascii="楷体_GB2312" w:eastAsia="楷体_GB2312"/>
          <w:spacing w:val="-14"/>
          <w:sz w:val="28"/>
          <w:highlight w:val="none"/>
          <w:u w:val="single" w:color="FF0000"/>
          <w:lang w:val="en-US" w:eastAsia="zh-CN"/>
        </w:rPr>
        <w:t>25</w:t>
      </w:r>
      <w:r>
        <w:rPr>
          <w:rFonts w:hint="eastAsia" w:ascii="楷体_GB2312" w:eastAsia="楷体_GB2312"/>
          <w:spacing w:val="-14"/>
          <w:sz w:val="28"/>
          <w:highlight w:val="none"/>
          <w:u w:val="single" w:color="FF0000"/>
        </w:rPr>
        <w:t>日</w:t>
      </w:r>
    </w:p>
    <w:p>
      <w:pPr>
        <w:widowControl w:val="0"/>
        <w:spacing w:line="360" w:lineRule="exact"/>
        <w:ind w:right="-101" w:rightChars="-42"/>
        <w:rPr>
          <w:rFonts w:ascii="楷体_GB2312" w:eastAsia="楷体_GB2312"/>
          <w:spacing w:val="-14"/>
          <w:sz w:val="28"/>
          <w:highlight w:val="none"/>
          <w:u w:val="single" w:color="FF0000"/>
        </w:rPr>
      </w:pPr>
      <w:bookmarkStart w:id="0" w:name="_GoBack"/>
      <w:bookmarkEnd w:id="0"/>
    </w:p>
    <w:p>
      <w:pPr>
        <w:widowControl w:val="0"/>
        <w:numPr>
          <w:ilvl w:val="0"/>
          <w:numId w:val="1"/>
        </w:numPr>
        <w:spacing w:after="156" w:afterLines="50"/>
        <w:ind w:right="-101" w:rightChars="-42"/>
        <w:rPr>
          <w:rFonts w:ascii="Times New Roman" w:hAnsi="Times New Roman" w:eastAsia="仿宋_GB2312"/>
          <w:sz w:val="32"/>
          <w:szCs w:val="32"/>
          <w:highlight w:val="none"/>
          <w:lang w:bidi="ar"/>
        </w:rPr>
      </w:pPr>
      <w:r>
        <w:rPr>
          <w:rFonts w:hint="eastAsia" w:ascii="Times New Roman" w:hAnsi="Times New Roman" w:eastAsia="楷体_GB2312"/>
          <w:b/>
          <w:bCs/>
          <w:sz w:val="32"/>
          <w:szCs w:val="32"/>
          <w:highlight w:val="none"/>
        </w:rPr>
        <w:t>金融工作</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0" w:afterAutospacing="0"/>
        <w:ind w:left="0" w:firstLine="0"/>
        <w:jc w:val="center"/>
        <w:textAlignment w:val="auto"/>
        <w:rPr>
          <w:rStyle w:val="11"/>
          <w:rFonts w:hint="eastAsia" w:ascii="华文中宋" w:hAnsi="华文中宋" w:eastAsia="华文中宋" w:cs="华文中宋"/>
          <w:b w:val="0"/>
          <w:bCs/>
          <w:i w:val="0"/>
          <w:caps w:val="0"/>
          <w:color w:val="333333"/>
          <w:spacing w:val="0"/>
          <w:sz w:val="36"/>
          <w:szCs w:val="36"/>
          <w:shd w:val="clear" w:fill="FFFFFF"/>
        </w:rPr>
      </w:pPr>
      <w:r>
        <w:rPr>
          <w:rStyle w:val="11"/>
          <w:rFonts w:hint="eastAsia" w:ascii="华文中宋" w:hAnsi="华文中宋" w:eastAsia="华文中宋" w:cs="华文中宋"/>
          <w:b w:val="0"/>
          <w:bCs/>
          <w:i w:val="0"/>
          <w:caps w:val="0"/>
          <w:color w:val="333333"/>
          <w:spacing w:val="0"/>
          <w:sz w:val="36"/>
          <w:szCs w:val="36"/>
          <w:shd w:val="clear" w:fill="FFFFFF"/>
        </w:rPr>
        <w:t>上海银行与市融资担保基金管理中心</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7" w:afterLines="50" w:afterAutospacing="0"/>
        <w:ind w:left="0" w:firstLine="0"/>
        <w:jc w:val="center"/>
        <w:textAlignment w:val="auto"/>
        <w:rPr>
          <w:rFonts w:hint="eastAsia" w:ascii="华文中宋" w:hAnsi="华文中宋" w:eastAsia="华文中宋" w:cs="华文中宋"/>
          <w:b w:val="0"/>
          <w:bCs/>
          <w:i w:val="0"/>
          <w:caps w:val="0"/>
          <w:color w:val="333333"/>
          <w:spacing w:val="0"/>
          <w:sz w:val="36"/>
          <w:szCs w:val="36"/>
        </w:rPr>
      </w:pPr>
      <w:r>
        <w:rPr>
          <w:rStyle w:val="11"/>
          <w:rFonts w:hint="eastAsia" w:ascii="华文中宋" w:hAnsi="华文中宋" w:eastAsia="华文中宋" w:cs="华文中宋"/>
          <w:b w:val="0"/>
          <w:bCs/>
          <w:i w:val="0"/>
          <w:caps w:val="0"/>
          <w:color w:val="333333"/>
          <w:spacing w:val="0"/>
          <w:sz w:val="36"/>
          <w:szCs w:val="36"/>
          <w:shd w:val="clear" w:fill="FFFFFF"/>
        </w:rPr>
        <w:t>签署战略合作协议</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bidi="ar"/>
        </w:rPr>
      </w:pPr>
      <w:r>
        <w:rPr>
          <w:rFonts w:hint="eastAsia" w:ascii="Times New Roman" w:hAnsi="Times New Roman" w:eastAsia="仿宋_GB2312" w:cs="宋体"/>
          <w:kern w:val="0"/>
          <w:sz w:val="32"/>
          <w:szCs w:val="32"/>
          <w:highlight w:val="none"/>
          <w:lang w:eastAsia="zh-CN" w:bidi="ar"/>
        </w:rPr>
        <w:t>日前</w:t>
      </w:r>
      <w:r>
        <w:rPr>
          <w:rFonts w:hint="eastAsia" w:ascii="Times New Roman" w:hAnsi="Times New Roman" w:eastAsia="仿宋_GB2312" w:cs="宋体"/>
          <w:kern w:val="0"/>
          <w:sz w:val="32"/>
          <w:szCs w:val="32"/>
          <w:highlight w:val="none"/>
          <w:lang w:bidi="ar"/>
        </w:rPr>
        <w:t>，上海银行与上海市中小微企业政策性融资担保基金管理中心（</w:t>
      </w:r>
      <w:r>
        <w:rPr>
          <w:rFonts w:hint="eastAsia" w:ascii="Times New Roman" w:hAnsi="Times New Roman" w:eastAsia="仿宋_GB2312" w:cs="宋体"/>
          <w:kern w:val="0"/>
          <w:sz w:val="32"/>
          <w:szCs w:val="32"/>
          <w:highlight w:val="none"/>
          <w:lang w:eastAsia="zh-CN" w:bidi="ar"/>
        </w:rPr>
        <w:t>简称</w:t>
      </w:r>
      <w:r>
        <w:rPr>
          <w:rFonts w:hint="eastAsia" w:ascii="Times New Roman" w:hAnsi="Times New Roman" w:eastAsia="仿宋_GB2312" w:cs="宋体"/>
          <w:kern w:val="0"/>
          <w:sz w:val="32"/>
          <w:szCs w:val="32"/>
          <w:highlight w:val="none"/>
          <w:lang w:bidi="ar"/>
        </w:rPr>
        <w:t>“市融资担保基金管理中心”）签署战略合作框架协议</w:t>
      </w:r>
      <w:r>
        <w:rPr>
          <w:rFonts w:hint="eastAsia" w:ascii="Times New Roman" w:hAnsi="Times New Roman" w:eastAsia="仿宋_GB2312" w:cs="宋体"/>
          <w:kern w:val="0"/>
          <w:sz w:val="32"/>
          <w:szCs w:val="32"/>
          <w:highlight w:val="none"/>
          <w:lang w:eastAsia="zh-CN" w:bidi="ar"/>
        </w:rPr>
        <w:t>，</w:t>
      </w:r>
      <w:r>
        <w:rPr>
          <w:rFonts w:hint="eastAsia" w:ascii="Times New Roman" w:hAnsi="Times New Roman" w:eastAsia="仿宋_GB2312" w:cs="宋体"/>
          <w:kern w:val="0"/>
          <w:sz w:val="32"/>
          <w:szCs w:val="32"/>
          <w:highlight w:val="none"/>
          <w:lang w:bidi="ar"/>
        </w:rPr>
        <w:t>双方将围绕普惠金融的增量、降价、提质、扩面，持续探索服务新模式。</w:t>
      </w:r>
    </w:p>
    <w:p>
      <w:pPr>
        <w:widowControl/>
        <w:autoSpaceDE w:val="0"/>
        <w:autoSpaceDN w:val="0"/>
        <w:adjustRightInd w:val="0"/>
        <w:ind w:firstLine="643" w:firstLineChars="200"/>
        <w:jc w:val="both"/>
        <w:rPr>
          <w:rFonts w:hint="eastAsia" w:ascii="Times New Roman" w:hAnsi="Times New Roman" w:eastAsia="仿宋_GB2312" w:cs="宋体"/>
          <w:kern w:val="0"/>
          <w:sz w:val="32"/>
          <w:szCs w:val="32"/>
          <w:highlight w:val="none"/>
          <w:lang w:bidi="ar"/>
        </w:rPr>
      </w:pPr>
      <w:r>
        <w:rPr>
          <w:rFonts w:hint="eastAsia" w:ascii="楷体_GB2312" w:hAnsi="楷体_GB2312" w:eastAsia="楷体_GB2312" w:cs="楷体_GB2312"/>
          <w:b/>
          <w:bCs/>
          <w:kern w:val="0"/>
          <w:sz w:val="32"/>
          <w:szCs w:val="32"/>
          <w:highlight w:val="none"/>
          <w:lang w:bidi="ar"/>
        </w:rPr>
        <w:t>创新融资服务再添四项</w:t>
      </w:r>
      <w:r>
        <w:rPr>
          <w:rFonts w:hint="eastAsia" w:ascii="楷体_GB2312" w:hAnsi="楷体_GB2312" w:eastAsia="楷体_GB2312" w:cs="楷体_GB2312"/>
          <w:b/>
          <w:bCs/>
          <w:kern w:val="0"/>
          <w:sz w:val="32"/>
          <w:szCs w:val="32"/>
          <w:highlight w:val="none"/>
          <w:lang w:eastAsia="zh-CN" w:bidi="ar"/>
        </w:rPr>
        <w:t>。</w:t>
      </w:r>
      <w:r>
        <w:rPr>
          <w:rFonts w:hint="eastAsia" w:ascii="Times New Roman" w:hAnsi="Times New Roman" w:eastAsia="仿宋_GB2312" w:cs="宋体"/>
          <w:kern w:val="0"/>
          <w:sz w:val="32"/>
          <w:szCs w:val="32"/>
          <w:highlight w:val="none"/>
          <w:lang w:bidi="ar"/>
        </w:rPr>
        <w:t>针对科创、外贸、医疗民生及产业链领域的中小企业融资需求，上海银行创新融资服务产品，与市担保基金中心共同组建“创新实验室”，打造“担保基金+”等系列专项金融服务。根据此次产品备忘录，双方的创新融资服务将再添四项，共同推出“科创专新贷”，助力更多科创企业发挥补链强链重要作用；推出“外贸担保贷”，缓解进出口企业融资难、融资贵的问题；推出“担保票易贷”，创新“商票信用链+担保基金增信”的供应链金融模式；推出“医疗机构结算贷”，构建基于“医疗机构+担保基金增信”的民生金融新模式等。这些专项金融服务，将激发科技创新活力、充分发挥金融稳外贸等积极作用。</w:t>
      </w:r>
    </w:p>
    <w:p>
      <w:pPr>
        <w:widowControl/>
        <w:autoSpaceDE w:val="0"/>
        <w:autoSpaceDN w:val="0"/>
        <w:adjustRightInd w:val="0"/>
        <w:ind w:firstLine="643" w:firstLineChars="200"/>
        <w:jc w:val="both"/>
        <w:rPr>
          <w:rFonts w:hint="eastAsia" w:ascii="Times New Roman" w:hAnsi="Times New Roman" w:eastAsia="仿宋_GB2312" w:cs="宋体"/>
          <w:kern w:val="0"/>
          <w:sz w:val="32"/>
          <w:szCs w:val="32"/>
          <w:highlight w:val="none"/>
          <w:lang w:bidi="ar"/>
        </w:rPr>
      </w:pPr>
      <w:r>
        <w:rPr>
          <w:rFonts w:hint="eastAsia" w:ascii="楷体_GB2312" w:hAnsi="楷体_GB2312" w:eastAsia="楷体_GB2312" w:cs="楷体_GB2312"/>
          <w:b/>
          <w:bCs/>
          <w:kern w:val="0"/>
          <w:sz w:val="32"/>
          <w:szCs w:val="32"/>
          <w:highlight w:val="none"/>
          <w:lang w:bidi="ar"/>
        </w:rPr>
        <w:t>普惠贷款年增长率超60%</w:t>
      </w:r>
      <w:r>
        <w:rPr>
          <w:rFonts w:hint="eastAsia" w:ascii="楷体_GB2312" w:hAnsi="楷体_GB2312" w:eastAsia="楷体_GB2312" w:cs="楷体_GB2312"/>
          <w:b/>
          <w:bCs/>
          <w:kern w:val="0"/>
          <w:sz w:val="32"/>
          <w:szCs w:val="32"/>
          <w:highlight w:val="none"/>
          <w:lang w:eastAsia="zh-CN" w:bidi="ar"/>
        </w:rPr>
        <w:t>。</w:t>
      </w:r>
      <w:r>
        <w:rPr>
          <w:rFonts w:hint="eastAsia" w:ascii="Times New Roman" w:hAnsi="Times New Roman" w:eastAsia="仿宋_GB2312" w:cs="宋体"/>
          <w:kern w:val="0"/>
          <w:sz w:val="32"/>
          <w:szCs w:val="32"/>
          <w:highlight w:val="none"/>
          <w:lang w:bidi="ar"/>
        </w:rPr>
        <w:t>近年来，通过体制驱动、政策支持、创新引领，上海银行全面推进普惠金融高质量发展</w:t>
      </w:r>
      <w:r>
        <w:rPr>
          <w:rFonts w:hint="eastAsia" w:ascii="Times New Roman" w:hAnsi="Times New Roman" w:eastAsia="仿宋_GB2312" w:cs="宋体"/>
          <w:kern w:val="0"/>
          <w:sz w:val="32"/>
          <w:szCs w:val="32"/>
          <w:highlight w:val="none"/>
          <w:lang w:eastAsia="zh-CN" w:bidi="ar"/>
        </w:rPr>
        <w:t>，</w:t>
      </w:r>
      <w:r>
        <w:rPr>
          <w:rFonts w:hint="eastAsia" w:ascii="Times New Roman" w:hAnsi="Times New Roman" w:eastAsia="仿宋_GB2312" w:cs="宋体"/>
          <w:kern w:val="0"/>
          <w:sz w:val="32"/>
          <w:szCs w:val="32"/>
          <w:highlight w:val="none"/>
          <w:lang w:bidi="ar"/>
        </w:rPr>
        <w:t>近两年来普惠贷款平均年增长率超过60%。自2016年市融资担保基金管理中心成立以来，上海银行就与其开展业务合作，在业内联合创新“批次业务模式”“线上备案模式”。截至目前，上海银行担保基金业务累计贷款规模超300亿元，居合作银行首位。</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eastAsia="zh-CN" w:bidi="ar"/>
        </w:rPr>
      </w:pPr>
      <w:r>
        <w:rPr>
          <w:rFonts w:hint="eastAsia" w:ascii="Times New Roman" w:hAnsi="Times New Roman" w:eastAsia="仿宋_GB2312" w:cs="宋体"/>
          <w:kern w:val="0"/>
          <w:sz w:val="32"/>
          <w:szCs w:val="32"/>
          <w:highlight w:val="none"/>
          <w:lang w:bidi="ar"/>
        </w:rPr>
        <w:t>未来，上海银行将进一步加强银政资源互补，努力探索出一条科技赋能、银政共担、互惠共赢的创新发展路径，为健全普惠金融发展长效机制，服务实体经济建设做出更大贡献。</w:t>
      </w:r>
      <w:r>
        <w:rPr>
          <w:rFonts w:hint="eastAsia" w:ascii="Times New Roman" w:hAnsi="Times New Roman" w:eastAsia="仿宋_GB2312" w:cs="宋体"/>
          <w:kern w:val="0"/>
          <w:sz w:val="32"/>
          <w:szCs w:val="32"/>
          <w:highlight w:val="none"/>
          <w:lang w:eastAsia="zh-CN" w:bidi="ar"/>
        </w:rPr>
        <w:t>（上海银行）</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eastAsia="zh-CN" w:bidi="ar"/>
        </w:rPr>
      </w:pPr>
    </w:p>
    <w:p>
      <w:pPr>
        <w:jc w:val="center"/>
        <w:rPr>
          <w:rFonts w:ascii="华文中宋" w:hAnsi="华文中宋" w:eastAsia="华文中宋"/>
          <w:sz w:val="36"/>
          <w:szCs w:val="36"/>
          <w:highlight w:val="none"/>
        </w:rPr>
      </w:pPr>
      <w:r>
        <w:rPr>
          <w:rFonts w:hint="eastAsia" w:ascii="华文中宋" w:hAnsi="华文中宋" w:eastAsia="华文中宋"/>
          <w:sz w:val="36"/>
          <w:szCs w:val="36"/>
          <w:highlight w:val="none"/>
        </w:rPr>
        <w:t>浦发银行并购贷款余额突破1500亿元</w:t>
      </w:r>
    </w:p>
    <w:p>
      <w:pPr>
        <w:jc w:val="center"/>
        <w:rPr>
          <w:rFonts w:ascii="华文中宋" w:hAnsi="华文中宋" w:eastAsia="华文中宋"/>
          <w:sz w:val="36"/>
          <w:szCs w:val="36"/>
          <w:highlight w:val="none"/>
        </w:rPr>
      </w:pPr>
      <w:r>
        <w:rPr>
          <w:rFonts w:hint="eastAsia" w:ascii="华文中宋" w:hAnsi="华文中宋" w:eastAsia="华文中宋"/>
          <w:sz w:val="36"/>
          <w:szCs w:val="36"/>
          <w:highlight w:val="none"/>
        </w:rPr>
        <w:t>连续3年</w:t>
      </w:r>
      <w:r>
        <w:rPr>
          <w:rFonts w:hint="eastAsia" w:ascii="华文中宋" w:hAnsi="华文中宋" w:eastAsia="华文中宋"/>
          <w:sz w:val="36"/>
          <w:szCs w:val="36"/>
          <w:highlight w:val="none"/>
          <w:lang w:eastAsia="zh-CN"/>
        </w:rPr>
        <w:t>位</w:t>
      </w:r>
      <w:r>
        <w:rPr>
          <w:rFonts w:hint="eastAsia" w:ascii="华文中宋" w:hAnsi="华文中宋" w:eastAsia="华文中宋"/>
          <w:sz w:val="36"/>
          <w:szCs w:val="36"/>
          <w:highlight w:val="none"/>
        </w:rPr>
        <w:t>居股份制银行前三</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截至2022年6月末，浦发银行境内外并购贷款余额1518.62亿元，再创历史新高，同比增幅37.28%，较年初增幅17.1%，连续3年位居股份制银行前三，在并购市场上树立了浦发并购金融的特色优质服务品牌。</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在当前我国经济结构转型高质量发展、产业结构调整优化升级的大背景下，浦发银行通过并购贷款+的并购组合融资、并购重组顾问等服务模式，更好地服务包括上海电力、TCL中环、海创绿能、立讯精密、上海地产、万科、青岛海湾化学集团和山东高速金融集团等公司客户，满足在清洁能源、新能源等绿色产业整合、新基建、新兴产业、重点企业产业链供应链整合、传统产业结构调整、龙头房地产企业纾困、国企混改员工持股计划、跨境并购等领域的并购金融需求。</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浦发银行将充分发挥专业化、差异化服务优势，持续强化集团资源整合和战略协同，积极推动并购金融创新，加强对分支机构的穿透服务指导，构建综合化、多元化的并购金融服务与产品体系，加强并购金融生态圈建设，不断丰富“长三购”“绿色购”“跨境购”等特色并购产品系列。（</w:t>
      </w:r>
      <w:r>
        <w:rPr>
          <w:rFonts w:hint="eastAsia" w:ascii="Times New Roman" w:hAnsi="Times New Roman" w:eastAsia="仿宋_GB2312"/>
          <w:sz w:val="32"/>
          <w:szCs w:val="32"/>
          <w:highlight w:val="none"/>
          <w:lang w:eastAsia="zh-CN" w:bidi="ar"/>
        </w:rPr>
        <w:t>浦发</w:t>
      </w:r>
      <w:r>
        <w:rPr>
          <w:rFonts w:hint="eastAsia" w:ascii="Times New Roman" w:hAnsi="Times New Roman" w:eastAsia="仿宋_GB2312"/>
          <w:sz w:val="32"/>
          <w:szCs w:val="32"/>
          <w:highlight w:val="none"/>
          <w:lang w:bidi="ar"/>
        </w:rPr>
        <w:t>银行）</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p>
    <w:p>
      <w:pPr>
        <w:widowControl w:val="0"/>
        <w:numPr>
          <w:ilvl w:val="0"/>
          <w:numId w:val="1"/>
        </w:numPr>
        <w:spacing w:after="156" w:afterLines="50"/>
        <w:ind w:right="-101" w:rightChars="-42"/>
        <w:rPr>
          <w:rFonts w:ascii="Times New Roman" w:hAnsi="Times New Roman" w:eastAsia="仿宋_GB2312"/>
          <w:sz w:val="32"/>
          <w:szCs w:val="32"/>
          <w:highlight w:val="none"/>
          <w:lang w:bidi="ar"/>
        </w:rPr>
      </w:pPr>
      <w:r>
        <w:rPr>
          <w:rFonts w:hint="eastAsia" w:ascii="Times New Roman" w:hAnsi="Times New Roman" w:eastAsia="楷体_GB2312"/>
          <w:b/>
          <w:bCs/>
          <w:sz w:val="32"/>
          <w:szCs w:val="32"/>
          <w:highlight w:val="none"/>
        </w:rPr>
        <w:t>国企之窗</w:t>
      </w:r>
    </w:p>
    <w:p>
      <w:pPr>
        <w:widowControl w:val="0"/>
        <w:spacing w:before="156" w:beforeLines="50" w:after="156" w:afterLines="50"/>
        <w:jc w:val="center"/>
        <w:rPr>
          <w:rFonts w:hint="eastAsia" w:ascii="Times New Roman" w:hAnsi="Times New Roman" w:eastAsia="华文中宋"/>
          <w:sz w:val="36"/>
          <w:szCs w:val="36"/>
          <w:highlight w:val="none"/>
          <w:lang w:eastAsia="zh-CN"/>
        </w:rPr>
      </w:pPr>
      <w:r>
        <w:rPr>
          <w:rFonts w:hint="eastAsia" w:ascii="Times New Roman" w:hAnsi="Times New Roman" w:eastAsia="华文中宋"/>
          <w:sz w:val="36"/>
          <w:szCs w:val="36"/>
          <w:highlight w:val="none"/>
          <w:lang w:eastAsia="zh-CN"/>
        </w:rPr>
        <w:t>上海国资国企助力</w:t>
      </w:r>
      <w:r>
        <w:rPr>
          <w:rFonts w:hint="eastAsia" w:ascii="Times New Roman" w:hAnsi="Times New Roman" w:eastAsia="华文中宋"/>
          <w:sz w:val="36"/>
          <w:szCs w:val="36"/>
          <w:highlight w:val="none"/>
        </w:rPr>
        <w:t>2022中国国际碳交易大会</w:t>
      </w:r>
      <w:r>
        <w:rPr>
          <w:rFonts w:hint="eastAsia" w:ascii="Times New Roman" w:hAnsi="Times New Roman" w:eastAsia="华文中宋"/>
          <w:sz w:val="36"/>
          <w:szCs w:val="36"/>
          <w:highlight w:val="none"/>
          <w:lang w:eastAsia="zh-CN"/>
        </w:rPr>
        <w:t>举办</w:t>
      </w:r>
    </w:p>
    <w:p>
      <w:pPr>
        <w:widowControl w:val="0"/>
        <w:spacing w:before="156" w:beforeLines="50" w:after="156" w:afterLines="50"/>
        <w:jc w:val="center"/>
        <w:rPr>
          <w:rFonts w:hint="eastAsia" w:ascii="Times New Roman" w:hAnsi="Times New Roman" w:eastAsia="华文中宋"/>
          <w:sz w:val="36"/>
          <w:szCs w:val="36"/>
          <w:highlight w:val="none"/>
          <w:lang w:eastAsia="zh-CN"/>
        </w:rPr>
      </w:pPr>
      <w:r>
        <w:rPr>
          <w:rFonts w:hint="eastAsia" w:ascii="Times New Roman" w:hAnsi="Times New Roman" w:eastAsia="华文中宋"/>
          <w:sz w:val="36"/>
          <w:szCs w:val="36"/>
          <w:highlight w:val="none"/>
          <w:lang w:eastAsia="zh-CN"/>
        </w:rPr>
        <w:t>全球首个碳资信评价标准发布</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全国碳排放权交易市场启动上线交易一周年之际，由上海环境能源交易所（简称“上海环交所”）和上海联交所通过线上线下相结合的形式，举办“2022中国国际碳交易大会”。</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由上海环交所联合临港集团下属上海质科院牵头制定的《碳管理体系要求及使用指南》（EATNS</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的推广应用，推动</w:t>
      </w:r>
      <w:r>
        <w:rPr>
          <w:rFonts w:hint="eastAsia" w:ascii="Times New Roman" w:hAnsi="Times New Roman" w:eastAsia="仿宋_GB2312"/>
          <w:sz w:val="32"/>
          <w:szCs w:val="32"/>
          <w:highlight w:val="none"/>
          <w:lang w:eastAsia="zh-CN" w:bidi="ar"/>
        </w:rPr>
        <w:t>了</w:t>
      </w:r>
      <w:r>
        <w:rPr>
          <w:rFonts w:hint="eastAsia" w:ascii="Times New Roman" w:hAnsi="Times New Roman" w:eastAsia="仿宋_GB2312"/>
          <w:sz w:val="32"/>
          <w:szCs w:val="32"/>
          <w:highlight w:val="none"/>
          <w:lang w:bidi="ar"/>
        </w:rPr>
        <w:t>长三角地区碳管理体系建设</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由上海环交所牵头起草</w:t>
      </w:r>
      <w:r>
        <w:rPr>
          <w:rFonts w:hint="eastAsia" w:ascii="Times New Roman" w:hAnsi="Times New Roman" w:eastAsia="仿宋_GB2312"/>
          <w:sz w:val="32"/>
          <w:szCs w:val="32"/>
          <w:highlight w:val="none"/>
          <w:lang w:eastAsia="zh-CN" w:bidi="ar"/>
        </w:rPr>
        <w:t>的</w:t>
      </w:r>
      <w:r>
        <w:rPr>
          <w:rFonts w:hint="eastAsia" w:ascii="Times New Roman" w:hAnsi="Times New Roman" w:eastAsia="仿宋_GB2312"/>
          <w:sz w:val="32"/>
          <w:szCs w:val="32"/>
          <w:highlight w:val="none"/>
          <w:lang w:bidi="ar"/>
        </w:rPr>
        <w:t>全国首个碳资信标准——《企业碳资信评价规范标准》</w:t>
      </w:r>
      <w:r>
        <w:rPr>
          <w:rFonts w:hint="eastAsia" w:ascii="Times New Roman" w:hAnsi="Times New Roman" w:eastAsia="仿宋_GB2312"/>
          <w:sz w:val="32"/>
          <w:szCs w:val="32"/>
          <w:highlight w:val="none"/>
          <w:lang w:eastAsia="zh-CN" w:bidi="ar"/>
        </w:rPr>
        <w:t>在会上发布</w:t>
      </w:r>
      <w:r>
        <w:rPr>
          <w:rFonts w:hint="eastAsia" w:ascii="Times New Roman" w:hAnsi="Times New Roman" w:eastAsia="仿宋_GB2312"/>
          <w:sz w:val="32"/>
          <w:szCs w:val="32"/>
          <w:highlight w:val="none"/>
          <w:lang w:bidi="ar"/>
        </w:rPr>
        <w:t>。为企业提供了刻画企业碳能力的工具，是对企业双碳适应能力的分析评价，也是对企业主动进行减排降碳行为的价值进行评估，同时接轨传统信用评级的财务因素并对接金融资源。</w:t>
      </w:r>
    </w:p>
    <w:p>
      <w:pPr>
        <w:autoSpaceDE w:val="0"/>
        <w:autoSpaceDN w:val="0"/>
        <w:adjustRightInd w:val="0"/>
        <w:ind w:firstLine="640" w:firstLineChars="200"/>
        <w:jc w:val="both"/>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会上，上海环境集团股份有限公司、国泰君安、浦发银行举行基于CCER</w:t>
      </w:r>
      <w:r>
        <w:rPr>
          <w:rFonts w:hint="eastAsia" w:ascii="Times New Roman" w:hAnsi="Times New Roman" w:eastAsia="仿宋_GB2312"/>
          <w:sz w:val="32"/>
          <w:szCs w:val="32"/>
          <w:highlight w:val="none"/>
          <w:lang w:eastAsia="zh-CN" w:bidi="ar"/>
        </w:rPr>
        <w:t>（国家核证自愿减排量）</w:t>
      </w:r>
      <w:r>
        <w:rPr>
          <w:rFonts w:hint="eastAsia" w:ascii="Times New Roman" w:hAnsi="Times New Roman" w:eastAsia="仿宋_GB2312"/>
          <w:sz w:val="32"/>
          <w:szCs w:val="32"/>
          <w:highlight w:val="none"/>
          <w:lang w:bidi="ar"/>
        </w:rPr>
        <w:t>交易协议的融资合作签约。该合作是国内首单基于CCER交易协议的融资业务。本次合作以上海环境某子公司绿色减排项目未来签发的CCER作为标的资产，由国泰君安与其签署交易协议约定购买，浦发银行根据双方的交易协议向上海环境下属该子公司提供融资。合作落地后，将创新性地帮助已备案的自愿减排项目使用预计签发的CCER进行融资，解决绿色减碳企业的资金融通问题。（</w:t>
      </w:r>
      <w:r>
        <w:rPr>
          <w:rFonts w:hint="eastAsia" w:ascii="Times New Roman" w:hAnsi="Times New Roman" w:eastAsia="仿宋_GB2312"/>
          <w:sz w:val="32"/>
          <w:szCs w:val="32"/>
          <w:highlight w:val="none"/>
          <w:lang w:eastAsia="zh-CN" w:bidi="ar"/>
        </w:rPr>
        <w:t>上海联交所、临港集团、浦发银行、国泰君安</w:t>
      </w:r>
      <w:r>
        <w:rPr>
          <w:rFonts w:hint="eastAsia" w:ascii="Times New Roman" w:hAnsi="Times New Roman" w:eastAsia="仿宋_GB2312"/>
          <w:sz w:val="32"/>
          <w:szCs w:val="32"/>
          <w:highlight w:val="none"/>
          <w:lang w:bidi="ar"/>
        </w:rPr>
        <w:t>）</w:t>
      </w:r>
    </w:p>
    <w:p>
      <w:pPr>
        <w:widowControl w:val="0"/>
        <w:numPr>
          <w:ilvl w:val="-1"/>
          <w:numId w:val="0"/>
        </w:numPr>
        <w:spacing w:after="156" w:afterLines="50"/>
        <w:ind w:left="0" w:right="-101" w:rightChars="-42" w:firstLine="0"/>
        <w:rPr>
          <w:rFonts w:ascii="Times New Roman" w:hAnsi="Times New Roman" w:eastAsia="仿宋_GB2312"/>
          <w:sz w:val="32"/>
          <w:szCs w:val="32"/>
          <w:highlight w:val="none"/>
          <w:lang w:bidi="ar"/>
        </w:rPr>
      </w:pPr>
    </w:p>
    <w:p>
      <w:pPr>
        <w:widowControl w:val="0"/>
        <w:numPr>
          <w:ilvl w:val="-1"/>
          <w:numId w:val="0"/>
        </w:numPr>
        <w:spacing w:after="156" w:afterLines="50"/>
        <w:ind w:left="0" w:right="-101" w:rightChars="-42" w:firstLine="0"/>
        <w:rPr>
          <w:rFonts w:ascii="Times New Roman" w:hAnsi="Times New Roman" w:eastAsia="仿宋_GB2312"/>
          <w:sz w:val="32"/>
          <w:szCs w:val="32"/>
          <w:highlight w:val="none"/>
          <w:lang w:bidi="ar"/>
        </w:rPr>
      </w:pPr>
    </w:p>
    <w:p>
      <w:pPr>
        <w:spacing w:before="157" w:beforeLines="50" w:after="0" w:afterLines="0"/>
        <w:jc w:val="center"/>
        <w:rPr>
          <w:rFonts w:hint="eastAsia" w:ascii="Times New Roman" w:hAnsi="Times New Roman" w:eastAsia="华文中宋" w:cs="华文中宋"/>
          <w:sz w:val="36"/>
          <w:szCs w:val="36"/>
          <w:highlight w:val="none"/>
          <w:shd w:val="clear" w:color="auto" w:fill="FFFFFF"/>
          <w:lang w:val="en-US" w:eastAsia="zh-CN"/>
        </w:rPr>
      </w:pPr>
      <w:r>
        <w:rPr>
          <w:rFonts w:hint="eastAsia" w:ascii="Times New Roman" w:hAnsi="Times New Roman" w:eastAsia="华文中宋" w:cs="华文中宋"/>
          <w:sz w:val="36"/>
          <w:szCs w:val="36"/>
          <w:highlight w:val="none"/>
          <w:shd w:val="clear" w:color="auto" w:fill="FFFFFF"/>
          <w:lang w:val="en-US" w:eastAsia="zh-CN"/>
        </w:rPr>
        <w:t>上海首条自动驾驶测试专用道启用</w:t>
      </w:r>
    </w:p>
    <w:p>
      <w:pPr>
        <w:spacing w:after="156" w:afterLines="50"/>
        <w:jc w:val="center"/>
        <w:rPr>
          <w:rFonts w:hint="eastAsia"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lang w:val="en-US" w:eastAsia="zh-CN"/>
        </w:rPr>
        <w:t>智能重卡迈向“无人化”时代</w:t>
      </w:r>
    </w:p>
    <w:p>
      <w:pPr>
        <w:widowControl w:val="0"/>
        <w:spacing w:after="0" w:afterLines="-2147483648"/>
        <w:ind w:right="0" w:rightChars="0"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eastAsia="zh-CN" w:bidi="ar"/>
        </w:rPr>
        <w:t>今日</w:t>
      </w:r>
      <w:r>
        <w:rPr>
          <w:rFonts w:hint="eastAsia" w:ascii="Times New Roman" w:hAnsi="Times New Roman" w:eastAsia="仿宋_GB2312"/>
          <w:sz w:val="32"/>
          <w:szCs w:val="32"/>
          <w:highlight w:val="none"/>
          <w:lang w:bidi="ar"/>
        </w:rPr>
        <w:t>，在由上海城投集团旗下城投高速运管中心运营的东海大桥自动驾驶测试专用道上，上汽集团旗下友道智途5G+L4智能重卡启动“减员化”运营测试，分阶段开展真实场景下道路无安全员的技术验证。这是国内首例在社会道路上开展的“减员化”智能运营测试，验证L4级别车队的自动驾驶跟驰技术，推动自动驾驶商业化迈入实质性“无人化”运营阶段。</w:t>
      </w:r>
    </w:p>
    <w:p>
      <w:pPr>
        <w:widowControl w:val="0"/>
        <w:spacing w:after="0" w:afterLines="-2147483648"/>
        <w:ind w:right="0" w:rightChars="0" w:firstLine="643" w:firstLineChars="200"/>
        <w:jc w:val="both"/>
        <w:rPr>
          <w:rFonts w:hint="eastAsia" w:ascii="Times New Roman" w:hAnsi="Times New Roman" w:eastAsia="仿宋_GB2312"/>
          <w:sz w:val="32"/>
          <w:szCs w:val="32"/>
          <w:highlight w:val="none"/>
          <w:lang w:bidi="ar"/>
        </w:rPr>
      </w:pPr>
      <w:r>
        <w:rPr>
          <w:rFonts w:hint="eastAsia" w:ascii="楷体_GB2312" w:hAnsi="楷体_GB2312" w:eastAsia="楷体_GB2312" w:cs="楷体_GB2312"/>
          <w:b/>
          <w:bCs/>
          <w:sz w:val="32"/>
          <w:szCs w:val="32"/>
          <w:highlight w:val="none"/>
          <w:lang w:bidi="ar"/>
        </w:rPr>
        <w:t>上海城投集团：开展测试专用道建设和配套设施更新工程</w:t>
      </w:r>
      <w:r>
        <w:rPr>
          <w:rFonts w:hint="eastAsia" w:ascii="楷体_GB2312" w:hAnsi="楷体_GB2312" w:eastAsia="楷体_GB2312" w:cs="楷体_GB2312"/>
          <w:b/>
          <w:bCs/>
          <w:sz w:val="32"/>
          <w:szCs w:val="32"/>
          <w:highlight w:val="none"/>
          <w:lang w:eastAsia="zh-CN" w:bidi="ar"/>
        </w:rPr>
        <w:t>。</w:t>
      </w:r>
      <w:r>
        <w:rPr>
          <w:rFonts w:hint="eastAsia" w:ascii="Times New Roman" w:hAnsi="Times New Roman" w:eastAsia="仿宋_GB2312"/>
          <w:sz w:val="32"/>
          <w:szCs w:val="32"/>
          <w:highlight w:val="none"/>
          <w:lang w:bidi="ar"/>
        </w:rPr>
        <w:t>为保障测试的顺利开展，上海城投高速运管中心组织开展了洋山港智能重卡示范运营东海大桥测试专用道建设工程和配套设施更新工程，对东海大桥警示标志、标线、可变信息标志等进行综合改造，对全线广播系统、部分低压供配电系统进行更新；多方沟通协调，与测试单位建立日常联系机制，并督促路段做好操作流程制定、人员培训等准备工作，为本次智能运营测试提供了良好的运行环境。</w:t>
      </w:r>
    </w:p>
    <w:p>
      <w:pPr>
        <w:widowControl w:val="0"/>
        <w:spacing w:after="0" w:afterLines="-2147483648"/>
        <w:ind w:right="0" w:rightChars="0" w:firstLine="643" w:firstLineChars="200"/>
        <w:jc w:val="both"/>
        <w:rPr>
          <w:rFonts w:hint="eastAsia" w:ascii="Times New Roman" w:hAnsi="Times New Roman" w:eastAsia="仿宋_GB2312"/>
          <w:sz w:val="32"/>
          <w:szCs w:val="32"/>
          <w:highlight w:val="none"/>
          <w:lang w:bidi="ar"/>
        </w:rPr>
      </w:pPr>
      <w:r>
        <w:rPr>
          <w:rFonts w:hint="eastAsia" w:ascii="楷体_GB2312" w:hAnsi="楷体_GB2312" w:eastAsia="楷体_GB2312" w:cs="楷体_GB2312"/>
          <w:b/>
          <w:bCs/>
          <w:sz w:val="32"/>
          <w:szCs w:val="32"/>
          <w:highlight w:val="none"/>
          <w:lang w:bidi="ar"/>
        </w:rPr>
        <w:t>上汽集团：建设测试专用道，更新配套设施</w:t>
      </w:r>
      <w:r>
        <w:rPr>
          <w:rFonts w:hint="eastAsia" w:ascii="楷体_GB2312" w:hAnsi="楷体_GB2312" w:eastAsia="楷体_GB2312" w:cs="楷体_GB2312"/>
          <w:b/>
          <w:bCs/>
          <w:sz w:val="32"/>
          <w:szCs w:val="32"/>
          <w:highlight w:val="none"/>
          <w:lang w:eastAsia="zh-CN" w:bidi="ar"/>
        </w:rPr>
        <w:t>。</w:t>
      </w:r>
      <w:r>
        <w:rPr>
          <w:rFonts w:hint="eastAsia" w:ascii="Times New Roman" w:hAnsi="Times New Roman" w:eastAsia="仿宋_GB2312"/>
          <w:sz w:val="32"/>
          <w:szCs w:val="32"/>
          <w:highlight w:val="none"/>
          <w:lang w:bidi="ar"/>
        </w:rPr>
        <w:t>上汽智能重卡已在东海大桥实现准商业化运营，今年上半年顶住疫情压力，完成近2.5万标箱转运。截至目前，累计完成8.62万标箱转运业务，真实运营里程超260万公里，是国内真实有效数据最多的智能重卡。</w:t>
      </w:r>
    </w:p>
    <w:p>
      <w:pPr>
        <w:widowControl w:val="0"/>
        <w:spacing w:after="0" w:afterLines="-2147483648"/>
        <w:ind w:right="0" w:rightChars="0"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友道智途的5G+L4智能重卡具有超距离感知能力，搭载激光、视觉和毫米波三种不同的传感器，每一种传感器都能实现360°超远距离感知。基于视觉及激光定位可实现全场景覆盖，能提取多元素的道路特征、稳定识别1000米内车辆和200米内锥桶、三脚架等微小物体。定位专用的定制化地图包含了更丰富的道路特征和要素，通过自研算法的赋能，几个小时内，即可呈现一整条道路的高精度“点云地图”，让智能重卡仅靠激光或视觉定位即可实现全程定位零接管，为单车安全行驶上了“双重保险”。</w:t>
      </w:r>
    </w:p>
    <w:p>
      <w:pPr>
        <w:widowControl w:val="0"/>
        <w:spacing w:after="0" w:afterLines="-2147483648"/>
        <w:ind w:right="0" w:rightChars="0" w:firstLine="640" w:firstLineChars="200"/>
        <w:jc w:val="both"/>
        <w:rPr>
          <w:rFonts w:hint="eastAsia" w:ascii="Times New Roman" w:hAnsi="Times New Roman" w:eastAsia="仿宋_GB2312" w:cs="宋体"/>
          <w:sz w:val="32"/>
          <w:szCs w:val="32"/>
          <w:highlight w:val="none"/>
          <w:lang w:bidi="ar"/>
        </w:rPr>
      </w:pPr>
      <w:r>
        <w:rPr>
          <w:rFonts w:hint="eastAsia" w:ascii="Times New Roman" w:hAnsi="Times New Roman" w:eastAsia="仿宋_GB2312" w:cs="宋体"/>
          <w:sz w:val="32"/>
          <w:szCs w:val="32"/>
          <w:highlight w:val="none"/>
          <w:lang w:bidi="ar"/>
        </w:rPr>
        <w:t>在东海大桥进行自动驾驶“减员化”运营测试的先行先试，将为加速相关法律、法规在上海早日落地积累宝贵</w:t>
      </w:r>
      <w:r>
        <w:rPr>
          <w:rFonts w:hint="eastAsia" w:ascii="Times New Roman" w:hAnsi="Times New Roman" w:eastAsia="仿宋_GB2312" w:cs="宋体"/>
          <w:sz w:val="32"/>
          <w:szCs w:val="32"/>
          <w:highlight w:val="none"/>
          <w:lang w:eastAsia="zh-CN" w:bidi="ar"/>
        </w:rPr>
        <w:t>经验。（</w:t>
      </w:r>
      <w:r>
        <w:rPr>
          <w:rFonts w:hint="eastAsia" w:ascii="Times New Roman" w:hAnsi="Times New Roman" w:eastAsia="仿宋_GB2312" w:cs="宋体"/>
          <w:sz w:val="32"/>
          <w:szCs w:val="32"/>
          <w:highlight w:val="none"/>
          <w:lang w:bidi="ar"/>
        </w:rPr>
        <w:t>上海城投集团、上汽集团</w:t>
      </w:r>
      <w:r>
        <w:rPr>
          <w:rFonts w:hint="eastAsia" w:ascii="Times New Roman" w:hAnsi="Times New Roman" w:eastAsia="仿宋_GB2312" w:cs="宋体"/>
          <w:sz w:val="32"/>
          <w:szCs w:val="32"/>
          <w:highlight w:val="none"/>
          <w:lang w:eastAsia="zh-CN" w:bidi="ar"/>
        </w:rPr>
        <w:t>）</w:t>
      </w:r>
    </w:p>
    <w:p>
      <w:pPr>
        <w:widowControl w:val="0"/>
        <w:numPr>
          <w:ilvl w:val="-1"/>
          <w:numId w:val="0"/>
        </w:numPr>
        <w:spacing w:after="156" w:afterLines="50"/>
        <w:ind w:left="0" w:right="-101" w:rightChars="-42" w:firstLine="0"/>
        <w:rPr>
          <w:rFonts w:ascii="Times New Roman" w:hAnsi="Times New Roman" w:eastAsia="仿宋_GB2312"/>
          <w:sz w:val="32"/>
          <w:szCs w:val="32"/>
          <w:highlight w:val="none"/>
          <w:lang w:bidi="ar"/>
        </w:rPr>
      </w:pPr>
    </w:p>
    <w:p>
      <w:pPr>
        <w:spacing w:after="156" w:afterLines="50"/>
        <w:jc w:val="center"/>
        <w:rPr>
          <w:rFonts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lang w:eastAsia="zh-CN"/>
        </w:rPr>
        <w:t>上海地铁</w:t>
      </w:r>
      <w:r>
        <w:rPr>
          <w:rFonts w:hint="eastAsia" w:ascii="Times New Roman" w:hAnsi="Times New Roman" w:eastAsia="华文中宋" w:cs="华文中宋"/>
          <w:sz w:val="36"/>
          <w:szCs w:val="36"/>
          <w:highlight w:val="none"/>
          <w:shd w:val="clear" w:color="auto" w:fill="FFFFFF"/>
        </w:rPr>
        <w:t>APP开通数字人民币支付功能</w:t>
      </w:r>
    </w:p>
    <w:p>
      <w:pPr>
        <w:widowControl w:val="0"/>
        <w:ind w:firstLine="640" w:firstLineChars="200"/>
        <w:jc w:val="both"/>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近日，申通地铁集团携手交通银行宣布，在上海地区使用最新版Metro大都会APP乘坐地铁或磁悬浮，可使用数字人民币进行支付。</w:t>
      </w:r>
    </w:p>
    <w:p>
      <w:pPr>
        <w:widowControl w:val="0"/>
        <w:ind w:firstLine="640" w:firstLineChars="200"/>
        <w:jc w:val="both"/>
        <w:rPr>
          <w:rFonts w:hint="eastAsia" w:ascii="Times New Roman" w:hAnsi="Times New Roman" w:eastAsia="仿宋_GB2312"/>
          <w:b w:val="0"/>
          <w:kern w:val="0"/>
          <w:sz w:val="32"/>
          <w:szCs w:val="32"/>
          <w:highlight w:val="none"/>
          <w:lang w:bidi="ar"/>
        </w:rPr>
      </w:pPr>
      <w:r>
        <w:rPr>
          <w:rFonts w:hint="eastAsia" w:ascii="Times New Roman" w:hAnsi="Times New Roman" w:eastAsia="仿宋_GB2312"/>
          <w:b w:val="0"/>
          <w:kern w:val="0"/>
          <w:sz w:val="32"/>
          <w:szCs w:val="32"/>
          <w:highlight w:val="none"/>
          <w:lang w:bidi="ar"/>
        </w:rPr>
        <w:t>此次申通地铁集团与交通银行独家合作，打通“Metro大都会”</w:t>
      </w:r>
      <w:r>
        <w:rPr>
          <w:rFonts w:hint="eastAsia" w:ascii="Times New Roman" w:hAnsi="Times New Roman" w:eastAsia="仿宋_GB2312"/>
          <w:b w:val="0"/>
          <w:kern w:val="0"/>
          <w:sz w:val="32"/>
          <w:szCs w:val="32"/>
          <w:highlight w:val="none"/>
          <w:lang w:eastAsia="zh-CN" w:bidi="ar"/>
        </w:rPr>
        <w:t>（上海地铁APP）</w:t>
      </w:r>
      <w:r>
        <w:rPr>
          <w:rFonts w:hint="eastAsia" w:ascii="Times New Roman" w:hAnsi="Times New Roman" w:eastAsia="仿宋_GB2312"/>
          <w:b w:val="0"/>
          <w:kern w:val="0"/>
          <w:sz w:val="32"/>
          <w:szCs w:val="32"/>
          <w:highlight w:val="none"/>
          <w:lang w:bidi="ar"/>
        </w:rPr>
        <w:t>与数字人民币接口，在支持交通银行数字人民币钱包的同时，同步支持工、农、中、建等所有数字人民币试点机构钱包。此外，为向上海市民普及智能化、数字化购票乘地铁体验，交通银行特别推出了“1分钱坐地铁”活动。</w:t>
      </w:r>
    </w:p>
    <w:p>
      <w:pPr>
        <w:widowControl w:val="0"/>
        <w:ind w:firstLine="640" w:firstLineChars="200"/>
        <w:jc w:val="both"/>
        <w:rPr>
          <w:rFonts w:ascii="Times New Roman" w:hAnsi="Times New Roman" w:eastAsia="仿宋_GB2312"/>
          <w:sz w:val="32"/>
          <w:szCs w:val="32"/>
          <w:highlight w:val="none"/>
          <w:lang w:bidi="ar"/>
        </w:rPr>
      </w:pPr>
      <w:r>
        <w:rPr>
          <w:rFonts w:hint="eastAsia" w:ascii="Times New Roman" w:hAnsi="Times New Roman" w:eastAsia="仿宋_GB2312"/>
          <w:b w:val="0"/>
          <w:kern w:val="0"/>
          <w:sz w:val="32"/>
          <w:szCs w:val="32"/>
          <w:highlight w:val="none"/>
          <w:lang w:bidi="ar"/>
        </w:rPr>
        <w:t>数字人民币在上海地铁的应用，是响应推进数字人民币应用国家战略，以特大型地铁网络数字化转型为创新支撑，以千万级小额高频支付场景为需求引领的一次重要尝试</w:t>
      </w:r>
      <w:r>
        <w:rPr>
          <w:rFonts w:hint="eastAsia" w:ascii="Times New Roman" w:hAnsi="Times New Roman" w:eastAsia="仿宋_GB2312"/>
          <w:b w:val="0"/>
          <w:kern w:val="0"/>
          <w:sz w:val="32"/>
          <w:szCs w:val="32"/>
          <w:highlight w:val="none"/>
          <w:lang w:eastAsia="zh-CN" w:bidi="ar"/>
        </w:rPr>
        <w:t>。同时也</w:t>
      </w:r>
      <w:r>
        <w:rPr>
          <w:rFonts w:hint="eastAsia" w:ascii="Times New Roman" w:hAnsi="Times New Roman" w:eastAsia="仿宋_GB2312"/>
          <w:b w:val="0"/>
          <w:kern w:val="0"/>
          <w:sz w:val="32"/>
          <w:szCs w:val="32"/>
          <w:highlight w:val="none"/>
          <w:lang w:bidi="ar"/>
        </w:rPr>
        <w:t>是从乘客出行体验和需求入手，积极推进绿色低碳的高质量出行，提升交通生活数字化服务品质</w:t>
      </w:r>
      <w:r>
        <w:rPr>
          <w:rFonts w:hint="eastAsia" w:ascii="Times New Roman" w:hAnsi="Times New Roman" w:eastAsia="仿宋_GB2312"/>
          <w:b w:val="0"/>
          <w:kern w:val="0"/>
          <w:sz w:val="32"/>
          <w:szCs w:val="32"/>
          <w:highlight w:val="none"/>
          <w:lang w:eastAsia="zh-CN" w:bidi="ar"/>
        </w:rPr>
        <w:t>的一次积极探索，有助于</w:t>
      </w:r>
      <w:r>
        <w:rPr>
          <w:rFonts w:hint="eastAsia" w:ascii="Times New Roman" w:hAnsi="Times New Roman" w:eastAsia="仿宋_GB2312"/>
          <w:b w:val="0"/>
          <w:kern w:val="0"/>
          <w:sz w:val="32"/>
          <w:szCs w:val="32"/>
          <w:highlight w:val="none"/>
          <w:lang w:bidi="ar"/>
        </w:rPr>
        <w:t>形成集智慧金融、便民体验、前端科技为一体的生活化支付场景方案，为加快推动更多数字人民币便民应用场景落地，</w:t>
      </w:r>
      <w:r>
        <w:rPr>
          <w:rFonts w:hint="eastAsia" w:ascii="Times New Roman" w:hAnsi="Times New Roman" w:eastAsia="仿宋_GB2312"/>
          <w:b w:val="0"/>
          <w:kern w:val="0"/>
          <w:sz w:val="32"/>
          <w:szCs w:val="32"/>
          <w:highlight w:val="none"/>
          <w:lang w:eastAsia="zh-CN" w:bidi="ar"/>
        </w:rPr>
        <w:t>提供</w:t>
      </w:r>
      <w:r>
        <w:rPr>
          <w:rFonts w:hint="eastAsia" w:ascii="Times New Roman" w:hAnsi="Times New Roman" w:eastAsia="仿宋_GB2312"/>
          <w:b w:val="0"/>
          <w:kern w:val="0"/>
          <w:sz w:val="32"/>
          <w:szCs w:val="32"/>
          <w:highlight w:val="none"/>
          <w:lang w:bidi="ar"/>
        </w:rPr>
        <w:t>可复制、可推广的上海地铁经验。</w:t>
      </w:r>
      <w:r>
        <w:rPr>
          <w:rFonts w:hint="eastAsia" w:ascii="Times New Roman" w:hAnsi="Times New Roman" w:eastAsia="仿宋_GB2312"/>
          <w:sz w:val="32"/>
          <w:szCs w:val="32"/>
          <w:highlight w:val="none"/>
          <w:lang w:bidi="ar"/>
        </w:rPr>
        <w:t>（</w:t>
      </w:r>
      <w:r>
        <w:rPr>
          <w:rFonts w:hint="eastAsia" w:ascii="Times New Roman" w:hAnsi="Times New Roman" w:eastAsia="仿宋_GB2312"/>
          <w:sz w:val="32"/>
          <w:szCs w:val="32"/>
          <w:highlight w:val="none"/>
          <w:lang w:eastAsia="zh-CN" w:bidi="ar"/>
        </w:rPr>
        <w:t>申通地铁集团</w:t>
      </w:r>
      <w:r>
        <w:rPr>
          <w:rFonts w:hint="eastAsia" w:ascii="Times New Roman" w:hAnsi="Times New Roman" w:eastAsia="仿宋_GB2312"/>
          <w:sz w:val="32"/>
          <w:szCs w:val="32"/>
          <w:highlight w:val="none"/>
          <w:lang w:bidi="ar"/>
        </w:rPr>
        <w:t>）</w:t>
      </w:r>
    </w:p>
    <w:p>
      <w:pPr>
        <w:spacing w:after="156" w:afterLines="50"/>
        <w:jc w:val="left"/>
        <w:rPr>
          <w:rFonts w:ascii="Times New Roman" w:hAnsi="Times New Roman" w:eastAsia="华文中宋" w:cs="华文中宋"/>
          <w:sz w:val="36"/>
          <w:szCs w:val="36"/>
          <w:highlight w:val="none"/>
          <w:shd w:val="clear" w:color="auto" w:fill="FFFFFF"/>
        </w:rPr>
      </w:pPr>
    </w:p>
    <w:p>
      <w:pPr>
        <w:spacing w:after="156" w:afterLines="50"/>
        <w:jc w:val="center"/>
        <w:rPr>
          <w:rFonts w:hint="eastAsia" w:ascii="Times New Roman" w:hAnsi="Times New Roman" w:eastAsia="华文中宋" w:cs="华文中宋"/>
          <w:sz w:val="36"/>
          <w:szCs w:val="36"/>
          <w:highlight w:val="none"/>
          <w:shd w:val="clear" w:color="auto" w:fill="FFFFFF"/>
          <w:lang w:eastAsia="zh-CN"/>
        </w:rPr>
      </w:pPr>
      <w:r>
        <w:rPr>
          <w:rFonts w:hint="eastAsia" w:ascii="Times New Roman" w:hAnsi="Times New Roman" w:eastAsia="华文中宋" w:cs="华文中宋"/>
          <w:sz w:val="36"/>
          <w:szCs w:val="36"/>
          <w:highlight w:val="none"/>
          <w:shd w:val="clear" w:color="auto" w:fill="FFFFFF"/>
        </w:rPr>
        <w:t>上汽</w:t>
      </w:r>
      <w:r>
        <w:rPr>
          <w:rFonts w:hint="eastAsia" w:ascii="Times New Roman" w:hAnsi="Times New Roman" w:eastAsia="华文中宋" w:cs="华文中宋"/>
          <w:sz w:val="36"/>
          <w:szCs w:val="36"/>
          <w:highlight w:val="none"/>
          <w:shd w:val="clear" w:color="auto" w:fill="FFFFFF"/>
          <w:lang w:eastAsia="zh-CN"/>
        </w:rPr>
        <w:t>集团名爵</w:t>
      </w:r>
      <w:r>
        <w:rPr>
          <w:rFonts w:hint="eastAsia" w:ascii="Times New Roman" w:hAnsi="Times New Roman" w:eastAsia="华文中宋" w:cs="华文中宋"/>
          <w:sz w:val="36"/>
          <w:szCs w:val="36"/>
          <w:highlight w:val="none"/>
          <w:shd w:val="clear" w:color="auto" w:fill="FFFFFF"/>
          <w:lang w:val="en-US" w:eastAsia="zh-CN"/>
        </w:rPr>
        <w:t>MG</w:t>
      </w:r>
      <w:r>
        <w:rPr>
          <w:rFonts w:hint="eastAsia" w:ascii="Times New Roman" w:hAnsi="Times New Roman" w:eastAsia="华文中宋" w:cs="华文中宋"/>
          <w:sz w:val="36"/>
          <w:szCs w:val="36"/>
          <w:highlight w:val="none"/>
          <w:shd w:val="clear" w:color="auto" w:fill="FFFFFF"/>
        </w:rPr>
        <w:t>出口海外</w:t>
      </w:r>
      <w:r>
        <w:rPr>
          <w:rFonts w:hint="eastAsia" w:ascii="Times New Roman" w:hAnsi="Times New Roman" w:eastAsia="华文中宋" w:cs="华文中宋"/>
          <w:sz w:val="36"/>
          <w:szCs w:val="36"/>
          <w:highlight w:val="none"/>
          <w:shd w:val="clear" w:color="auto" w:fill="FFFFFF"/>
          <w:lang w:eastAsia="zh-CN"/>
        </w:rPr>
        <w:t>累计</w:t>
      </w:r>
      <w:r>
        <w:rPr>
          <w:rFonts w:hint="eastAsia" w:ascii="Times New Roman" w:hAnsi="Times New Roman" w:eastAsia="华文中宋" w:cs="华文中宋"/>
          <w:sz w:val="36"/>
          <w:szCs w:val="36"/>
          <w:highlight w:val="none"/>
          <w:shd w:val="clear" w:color="auto" w:fill="FFFFFF"/>
        </w:rPr>
        <w:t>一百万辆</w:t>
      </w:r>
      <w:r>
        <w:rPr>
          <w:rFonts w:hint="eastAsia" w:ascii="Times New Roman" w:hAnsi="Times New Roman" w:eastAsia="华文中宋" w:cs="华文中宋"/>
          <w:sz w:val="36"/>
          <w:szCs w:val="36"/>
          <w:highlight w:val="none"/>
          <w:shd w:val="clear" w:color="auto" w:fill="FFFFFF"/>
          <w:lang w:eastAsia="zh-CN"/>
        </w:rPr>
        <w:t>实现新突破</w:t>
      </w:r>
    </w:p>
    <w:p>
      <w:pPr>
        <w:widowControl w:val="0"/>
        <w:ind w:firstLine="640" w:firstLineChars="200"/>
        <w:jc w:val="both"/>
        <w:rPr>
          <w:rFonts w:hint="eastAsia" w:ascii="Times New Roman" w:hAnsi="Times New Roman" w:eastAsia="仿宋_GB2312"/>
          <w:b w:val="0"/>
          <w:kern w:val="0"/>
          <w:sz w:val="32"/>
          <w:szCs w:val="32"/>
          <w:highlight w:val="none"/>
          <w:lang w:bidi="ar"/>
        </w:rPr>
      </w:pPr>
      <w:r>
        <w:rPr>
          <w:rFonts w:hint="eastAsia" w:ascii="Times New Roman" w:hAnsi="Times New Roman" w:eastAsia="仿宋_GB2312"/>
          <w:sz w:val="32"/>
          <w:szCs w:val="32"/>
          <w:highlight w:val="none"/>
          <w:lang w:bidi="ar"/>
        </w:rPr>
        <w:t>近日，上汽集团</w:t>
      </w:r>
      <w:r>
        <w:rPr>
          <w:rFonts w:hint="eastAsia" w:ascii="Times New Roman" w:hAnsi="Times New Roman" w:eastAsia="仿宋_GB2312"/>
          <w:sz w:val="32"/>
          <w:szCs w:val="32"/>
          <w:highlight w:val="none"/>
          <w:lang w:eastAsia="zh-CN" w:bidi="ar"/>
        </w:rPr>
        <w:t>名爵（</w:t>
      </w:r>
      <w:r>
        <w:rPr>
          <w:rFonts w:hint="eastAsia" w:ascii="Times New Roman" w:hAnsi="Times New Roman" w:eastAsia="仿宋_GB2312"/>
          <w:sz w:val="32"/>
          <w:szCs w:val="32"/>
          <w:highlight w:val="none"/>
          <w:lang w:bidi="ar"/>
        </w:rPr>
        <w:t>MG</w:t>
      </w:r>
      <w:r>
        <w:rPr>
          <w:rFonts w:hint="eastAsia" w:ascii="Times New Roman" w:hAnsi="Times New Roman" w:eastAsia="仿宋_GB2312"/>
          <w:sz w:val="32"/>
          <w:szCs w:val="32"/>
          <w:highlight w:val="none"/>
          <w:lang w:eastAsia="zh-CN" w:bidi="ar"/>
        </w:rPr>
        <w:t>）品牌</w:t>
      </w:r>
      <w:r>
        <w:rPr>
          <w:rFonts w:hint="eastAsia" w:ascii="Times New Roman" w:hAnsi="Times New Roman" w:eastAsia="仿宋_GB2312"/>
          <w:sz w:val="32"/>
          <w:szCs w:val="32"/>
          <w:highlight w:val="none"/>
          <w:lang w:bidi="ar"/>
        </w:rPr>
        <w:t>出口海外累计100万辆正式达成。</w:t>
      </w:r>
      <w:r>
        <w:rPr>
          <w:rFonts w:hint="eastAsia" w:ascii="Times New Roman" w:hAnsi="Times New Roman" w:eastAsia="仿宋_GB2312"/>
          <w:b w:val="0"/>
          <w:kern w:val="0"/>
          <w:sz w:val="32"/>
          <w:szCs w:val="32"/>
          <w:highlight w:val="none"/>
          <w:lang w:bidi="ar"/>
        </w:rPr>
        <w:t>近年来，MG不断刷新全球销量数据，创下连续三年“中国单一品牌海外销量冠军”的佳绩，旗下产品销往全球84个国家和地区。今年5月，MG ZS</w:t>
      </w:r>
      <w:r>
        <w:rPr>
          <w:rFonts w:hint="eastAsia" w:ascii="Times New Roman" w:hAnsi="Times New Roman" w:eastAsia="仿宋_GB2312"/>
          <w:b w:val="0"/>
          <w:kern w:val="0"/>
          <w:sz w:val="32"/>
          <w:szCs w:val="32"/>
          <w:highlight w:val="none"/>
          <w:lang w:eastAsia="zh-CN" w:bidi="ar"/>
        </w:rPr>
        <w:t>车型</w:t>
      </w:r>
      <w:r>
        <w:rPr>
          <w:rFonts w:hint="eastAsia" w:ascii="Times New Roman" w:hAnsi="Times New Roman" w:eastAsia="仿宋_GB2312"/>
          <w:b w:val="0"/>
          <w:kern w:val="0"/>
          <w:sz w:val="32"/>
          <w:szCs w:val="32"/>
          <w:highlight w:val="none"/>
          <w:lang w:bidi="ar"/>
        </w:rPr>
        <w:t>拿下了澳大利亚、智利等国SUV细分市场第一；第一季度，MG品牌在澳大利亚、新西兰、沙特、卡塔尔等全球18个国家跻身单一品牌TOP10。</w:t>
      </w:r>
    </w:p>
    <w:p>
      <w:pPr>
        <w:widowControl w:val="0"/>
        <w:ind w:firstLine="640" w:firstLineChars="200"/>
        <w:jc w:val="both"/>
        <w:rPr>
          <w:rFonts w:hint="eastAsia" w:ascii="Times New Roman" w:hAnsi="Times New Roman" w:eastAsia="仿宋_GB2312"/>
          <w:b w:val="0"/>
          <w:kern w:val="0"/>
          <w:sz w:val="32"/>
          <w:szCs w:val="32"/>
          <w:highlight w:val="none"/>
          <w:lang w:bidi="ar"/>
        </w:rPr>
      </w:pPr>
      <w:r>
        <w:rPr>
          <w:rFonts w:hint="eastAsia" w:ascii="Times New Roman" w:hAnsi="Times New Roman" w:eastAsia="仿宋_GB2312"/>
          <w:b w:val="0"/>
          <w:kern w:val="0"/>
          <w:sz w:val="32"/>
          <w:szCs w:val="32"/>
          <w:highlight w:val="none"/>
          <w:lang w:bidi="ar"/>
        </w:rPr>
        <w:t>依托上汽“新四化”领先技术、全球多个设计中心的全方位联动和全球产业链供应等优势，MG以全球同一标准对待每一款车型。MG旗下产品符合REACH</w:t>
      </w:r>
      <w:r>
        <w:rPr>
          <w:rFonts w:hint="eastAsia" w:ascii="Times New Roman" w:hAnsi="Times New Roman" w:eastAsia="仿宋_GB2312"/>
          <w:b w:val="0"/>
          <w:kern w:val="0"/>
          <w:sz w:val="32"/>
          <w:szCs w:val="32"/>
          <w:highlight w:val="none"/>
          <w:lang w:eastAsia="zh-CN" w:bidi="ar"/>
        </w:rPr>
        <w:t>（欧盟规章《化学品注册、评估、许可和限制》）</w:t>
      </w:r>
      <w:r>
        <w:rPr>
          <w:rFonts w:hint="eastAsia" w:ascii="Times New Roman" w:hAnsi="Times New Roman" w:eastAsia="仿宋_GB2312"/>
          <w:b w:val="0"/>
          <w:kern w:val="0"/>
          <w:sz w:val="32"/>
          <w:szCs w:val="32"/>
          <w:highlight w:val="none"/>
          <w:lang w:bidi="ar"/>
        </w:rPr>
        <w:t>、E-MARK</w:t>
      </w:r>
      <w:r>
        <w:rPr>
          <w:rFonts w:hint="eastAsia" w:ascii="Times New Roman" w:hAnsi="Times New Roman" w:eastAsia="仿宋_GB2312"/>
          <w:b w:val="0"/>
          <w:kern w:val="0"/>
          <w:sz w:val="32"/>
          <w:szCs w:val="32"/>
          <w:highlight w:val="none"/>
          <w:lang w:eastAsia="zh-CN" w:bidi="ar"/>
        </w:rPr>
        <w:t>（欧洲共同市场）</w:t>
      </w:r>
      <w:r>
        <w:rPr>
          <w:rFonts w:hint="eastAsia" w:ascii="Times New Roman" w:hAnsi="Times New Roman" w:eastAsia="仿宋_GB2312"/>
          <w:b w:val="0"/>
          <w:kern w:val="0"/>
          <w:sz w:val="32"/>
          <w:szCs w:val="32"/>
          <w:highlight w:val="none"/>
          <w:lang w:bidi="ar"/>
        </w:rPr>
        <w:t>等欧标，并满足欧洲和澳大利亚“双五星”安全认证。同时，借助上汽集团的海外庞大布局，MG将高品质的服务带到全球各地，结合本土化的创新营销模式，成为海外消费者眼中的“潮牌”。</w:t>
      </w:r>
    </w:p>
    <w:p>
      <w:pPr>
        <w:widowControl w:val="0"/>
        <w:ind w:firstLine="640" w:firstLineChars="200"/>
        <w:jc w:val="both"/>
        <w:rPr>
          <w:rFonts w:ascii="Times New Roman" w:hAnsi="Times New Roman" w:eastAsia="仿宋_GB2312"/>
          <w:sz w:val="32"/>
          <w:szCs w:val="32"/>
          <w:highlight w:val="none"/>
          <w:lang w:bidi="ar"/>
        </w:rPr>
      </w:pPr>
      <w:r>
        <w:rPr>
          <w:rFonts w:hint="eastAsia" w:ascii="Times New Roman" w:hAnsi="Times New Roman" w:eastAsia="仿宋_GB2312"/>
          <w:b w:val="0"/>
          <w:kern w:val="0"/>
          <w:sz w:val="32"/>
          <w:szCs w:val="32"/>
          <w:highlight w:val="none"/>
          <w:lang w:val="en-US" w:eastAsia="zh-CN" w:bidi="ar"/>
        </w:rPr>
        <w:t>MG持续推出深受年轻用户喜爱的车型，</w:t>
      </w:r>
      <w:r>
        <w:rPr>
          <w:rFonts w:hint="eastAsia" w:ascii="Times New Roman" w:hAnsi="Times New Roman" w:eastAsia="仿宋_GB2312"/>
          <w:b w:val="0"/>
          <w:kern w:val="0"/>
          <w:sz w:val="32"/>
          <w:szCs w:val="32"/>
          <w:highlight w:val="none"/>
          <w:lang w:bidi="ar"/>
        </w:rPr>
        <w:t>MG ZS系列和即将上市的MG MULAN，满足了当下全球消费者对智能出行的高阶需求，</w:t>
      </w:r>
      <w:r>
        <w:rPr>
          <w:rFonts w:hint="eastAsia" w:ascii="Times New Roman" w:hAnsi="Times New Roman" w:eastAsia="仿宋_GB2312"/>
          <w:b w:val="0"/>
          <w:kern w:val="0"/>
          <w:sz w:val="32"/>
          <w:szCs w:val="32"/>
          <w:highlight w:val="none"/>
          <w:lang w:eastAsia="zh-CN" w:bidi="ar"/>
        </w:rPr>
        <w:t>将</w:t>
      </w:r>
      <w:r>
        <w:rPr>
          <w:rFonts w:hint="eastAsia" w:ascii="Times New Roman" w:hAnsi="Times New Roman" w:eastAsia="仿宋_GB2312"/>
          <w:b w:val="0"/>
          <w:kern w:val="0"/>
          <w:sz w:val="32"/>
          <w:szCs w:val="32"/>
          <w:highlight w:val="none"/>
          <w:lang w:bidi="ar"/>
        </w:rPr>
        <w:t>进一步丰富MG出海产品矩阵，为冲击下一个出海100万辆的目标蓄积力量。</w:t>
      </w:r>
      <w:r>
        <w:rPr>
          <w:rFonts w:hint="eastAsia" w:ascii="Times New Roman" w:hAnsi="Times New Roman" w:eastAsia="仿宋_GB2312"/>
          <w:sz w:val="32"/>
          <w:szCs w:val="32"/>
          <w:highlight w:val="none"/>
          <w:lang w:bidi="ar"/>
        </w:rPr>
        <w:t>（上汽集团）</w:t>
      </w:r>
    </w:p>
    <w:p>
      <w:pPr>
        <w:widowControl w:val="0"/>
        <w:ind w:firstLine="640" w:firstLineChars="200"/>
        <w:jc w:val="both"/>
        <w:rPr>
          <w:rFonts w:ascii="Times New Roman" w:hAnsi="Times New Roman" w:eastAsia="仿宋_GB2312"/>
          <w:sz w:val="32"/>
          <w:szCs w:val="32"/>
          <w:highlight w:val="none"/>
          <w:lang w:bidi="ar"/>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0" w:afterAutospacing="0"/>
        <w:ind w:left="0" w:firstLine="0"/>
        <w:jc w:val="center"/>
        <w:textAlignment w:val="auto"/>
        <w:rPr>
          <w:rStyle w:val="11"/>
          <w:rFonts w:ascii="华文中宋" w:hAnsi="华文中宋" w:eastAsia="华文中宋" w:cs="华文中宋"/>
          <w:b w:val="0"/>
          <w:bCs/>
          <w:color w:val="auto"/>
          <w:sz w:val="36"/>
          <w:szCs w:val="36"/>
          <w:shd w:val="clear" w:fill="FFFFFF"/>
        </w:rPr>
      </w:pPr>
      <w:r>
        <w:rPr>
          <w:rStyle w:val="11"/>
          <w:rFonts w:hint="eastAsia" w:ascii="华文中宋" w:hAnsi="华文中宋" w:eastAsia="华文中宋" w:cs="华文中宋"/>
          <w:b w:val="0"/>
          <w:bCs/>
          <w:color w:val="auto"/>
          <w:sz w:val="36"/>
          <w:szCs w:val="36"/>
          <w:shd w:val="clear" w:fill="FFFFFF"/>
        </w:rPr>
        <w:t>亚洲最大容量海上风机完成吊装</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Lines="0" w:beforeAutospacing="0" w:after="157" w:afterLines="50" w:afterAutospacing="0"/>
        <w:ind w:left="0" w:firstLine="0"/>
        <w:jc w:val="center"/>
        <w:textAlignment w:val="auto"/>
        <w:rPr>
          <w:rStyle w:val="11"/>
          <w:rFonts w:hint="eastAsia" w:ascii="华文中宋" w:hAnsi="华文中宋" w:eastAsia="华文中宋" w:cs="华文中宋"/>
          <w:b w:val="0"/>
          <w:bCs/>
          <w:color w:val="auto"/>
          <w:sz w:val="36"/>
          <w:szCs w:val="36"/>
          <w:shd w:val="clear" w:fill="FFFFFF"/>
        </w:rPr>
      </w:pPr>
      <w:r>
        <w:rPr>
          <w:rStyle w:val="11"/>
          <w:rFonts w:hint="eastAsia" w:ascii="华文中宋" w:hAnsi="华文中宋" w:eastAsia="华文中宋" w:cs="华文中宋"/>
          <w:b w:val="0"/>
          <w:bCs/>
          <w:color w:val="auto"/>
          <w:sz w:val="36"/>
          <w:szCs w:val="36"/>
          <w:shd w:val="clear" w:fill="FFFFFF"/>
        </w:rPr>
        <w:t>上海电气助力海上风电跨越式发展</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bidi="ar"/>
        </w:rPr>
      </w:pPr>
      <w:r>
        <w:rPr>
          <w:rFonts w:hint="eastAsia" w:ascii="Times New Roman" w:hAnsi="Times New Roman" w:eastAsia="仿宋_GB2312" w:cs="宋体"/>
          <w:kern w:val="0"/>
          <w:sz w:val="32"/>
          <w:szCs w:val="32"/>
          <w:highlight w:val="none"/>
          <w:lang w:eastAsia="zh-CN" w:bidi="ar"/>
        </w:rPr>
        <w:t>近日</w:t>
      </w:r>
      <w:r>
        <w:rPr>
          <w:rFonts w:hint="eastAsia" w:ascii="Times New Roman" w:hAnsi="Times New Roman" w:eastAsia="仿宋_GB2312" w:cs="宋体"/>
          <w:kern w:val="0"/>
          <w:sz w:val="32"/>
          <w:szCs w:val="32"/>
          <w:highlight w:val="none"/>
          <w:lang w:bidi="ar"/>
        </w:rPr>
        <w:t>，上海电气Petrel“海燕”平台首台EW11.0-208机组在广东汕头完成吊装。这是目前已吊装的亚洲最大容量海上风机，我国海上风电产业翻开崭新一页，正式跨入11兆瓦时代。</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bidi="ar"/>
        </w:rPr>
      </w:pPr>
      <w:r>
        <w:rPr>
          <w:rFonts w:hint="eastAsia" w:ascii="Times New Roman" w:hAnsi="Times New Roman" w:eastAsia="仿宋_GB2312" w:cs="宋体"/>
          <w:kern w:val="0"/>
          <w:sz w:val="32"/>
          <w:szCs w:val="32"/>
          <w:highlight w:val="none"/>
          <w:lang w:bidi="ar"/>
        </w:rPr>
        <w:t>Petrel“海燕”是上海电气融合10年海上平台经验，专门应对高温、高湿、高盐、台风、地震等海洋环境，历经3年自主研发的平台。作为该平台的首款产品，EW11.0-208海上风机是上海电气在“双碳”目标引领下，针对风电平价时代而推出的极具经济性的高风速海域直驱平台产品，可同时覆盖普通海域和台风海域。该机型于2021年9月在广东省最大的智慧能源项目、上海电气风电集团股份有限公司首个工业园区级的“能源互联网+”示范项目——电气风电汕头基地成功下线，成为我国首台正式下线的11兆瓦级别机组。</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bidi="ar"/>
        </w:rPr>
      </w:pPr>
      <w:r>
        <w:rPr>
          <w:rFonts w:hint="eastAsia" w:ascii="Times New Roman" w:hAnsi="Times New Roman" w:eastAsia="仿宋_GB2312" w:cs="宋体"/>
          <w:kern w:val="0"/>
          <w:sz w:val="32"/>
          <w:szCs w:val="32"/>
          <w:highlight w:val="none"/>
          <w:lang w:bidi="ar"/>
        </w:rPr>
        <w:t>该款海上风机采取全生命周期数字化设计、生产、运维管理，应用最新一代LeapX控制系统，降低整机运行载荷，提升机组运行稳定性。机组与上海电气“风云”平台智能互联后，成为全感知数字化智联风机，能持续提升可利用率及客户收益率。</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bidi="ar"/>
        </w:rPr>
        <w:t>未来，上海电气将一如既往以更好的产品和服务保障为客户提供更优的解决方案，促进海上风电产业的蓬勃发展，为我国实现“双碳”目标贡献上海电气的智慧与力量。</w:t>
      </w:r>
      <w:r>
        <w:rPr>
          <w:rFonts w:hint="eastAsia" w:ascii="Times New Roman" w:hAnsi="Times New Roman" w:eastAsia="仿宋_GB2312" w:cs="宋体"/>
          <w:kern w:val="0"/>
          <w:sz w:val="32"/>
          <w:szCs w:val="32"/>
          <w:highlight w:val="none"/>
          <w:lang w:eastAsia="zh-CN" w:bidi="ar"/>
        </w:rPr>
        <w:t>（上海电气）</w:t>
      </w:r>
    </w:p>
    <w:p>
      <w:pPr>
        <w:widowControl w:val="0"/>
        <w:ind w:firstLine="0" w:firstLineChars="0"/>
        <w:jc w:val="both"/>
        <w:rPr>
          <w:rFonts w:ascii="Times New Roman" w:hAnsi="Times New Roman" w:eastAsia="仿宋_GB2312"/>
          <w:sz w:val="32"/>
          <w:szCs w:val="32"/>
          <w:highlight w:val="none"/>
          <w:lang w:bidi="ar"/>
        </w:rPr>
      </w:pPr>
    </w:p>
    <w:p>
      <w:pPr>
        <w:spacing w:after="156" w:afterLines="50"/>
        <w:jc w:val="center"/>
        <w:rPr>
          <w:rFonts w:hint="eastAsia"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rPr>
        <w:t>华建集团环境院大理洱海生态修复工程</w:t>
      </w:r>
    </w:p>
    <w:p>
      <w:pPr>
        <w:spacing w:after="156" w:afterLines="50"/>
        <w:jc w:val="center"/>
        <w:rPr>
          <w:rFonts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rPr>
        <w:t>获2022 LILA国际景观大奖</w:t>
      </w:r>
    </w:p>
    <w:p>
      <w:pPr>
        <w:widowControl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近日，华建集团建筑装饰环境设计研究院联合设计作品“重生于此：洱海生态修复工程”，荣获2022 LILA基础设施奖。该奖项与欧洲景观双年展罗莎芭芭拉奖（Rosa Barba Prize）、英国景观行业协会奖（BALI）都属于欧洲重要的风景园林奖项。</w:t>
      </w:r>
    </w:p>
    <w:p>
      <w:pPr>
        <w:widowControl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洱海生态修复工程在环洱海沿岸建立了129公里长900公顷的开放式保护区。建成后洱海水质显著提升，生物多样性困境被扭转</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为气候变化下的全球湖库系统提供了可供参考的应对策略。</w:t>
      </w:r>
    </w:p>
    <w:p>
      <w:pPr>
        <w:widowControl w:val="0"/>
        <w:ind w:firstLine="640" w:firstLineChars="200"/>
        <w:jc w:val="both"/>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洱海湖滨带保护工程不仅提出了保护自然景观和解决人地矛盾的有效方</w:t>
      </w:r>
      <w:r>
        <w:rPr>
          <w:rFonts w:hint="eastAsia" w:ascii="Times New Roman" w:hAnsi="Times New Roman" w:eastAsia="仿宋_GB2312" w:cs="宋体"/>
          <w:sz w:val="32"/>
          <w:szCs w:val="32"/>
          <w:highlight w:val="none"/>
          <w:lang w:bidi="ar"/>
        </w:rPr>
        <w:t>法，</w:t>
      </w:r>
      <w:r>
        <w:rPr>
          <w:rFonts w:hint="eastAsia" w:ascii="Times New Roman" w:hAnsi="Times New Roman" w:eastAsia="仿宋_GB2312" w:cs="宋体"/>
          <w:sz w:val="32"/>
          <w:szCs w:val="32"/>
          <w:highlight w:val="none"/>
          <w:lang w:eastAsia="zh-CN" w:bidi="ar"/>
        </w:rPr>
        <w:t>也</w:t>
      </w:r>
      <w:r>
        <w:rPr>
          <w:rFonts w:hint="eastAsia" w:ascii="Times New Roman" w:hAnsi="Times New Roman" w:eastAsia="仿宋_GB2312" w:cs="宋体"/>
          <w:i w:val="0"/>
          <w:caps w:val="0"/>
          <w:spacing w:val="0"/>
          <w:kern w:val="0"/>
          <w:sz w:val="32"/>
          <w:szCs w:val="32"/>
          <w:highlight w:val="none"/>
          <w:shd w:val="clear"/>
          <w:lang w:val="en-US" w:eastAsia="zh-CN" w:bidi="ar"/>
        </w:rPr>
        <w:t>带动了周边区域发展，形成了经济、生态、社会综合效益。</w:t>
      </w:r>
      <w:r>
        <w:rPr>
          <w:rFonts w:hint="eastAsia" w:ascii="Times New Roman" w:hAnsi="Times New Roman" w:eastAsia="仿宋_GB2312" w:cs="宋体"/>
          <w:sz w:val="32"/>
          <w:szCs w:val="32"/>
          <w:highlight w:val="none"/>
          <w:lang w:bidi="ar"/>
        </w:rPr>
        <w:t>目前洱海地区平均客流量达到1.16万人次/天，自行车等慢行交通设施每天使用人次可达4000次</w:t>
      </w:r>
      <w:r>
        <w:rPr>
          <w:rFonts w:hint="eastAsia" w:ascii="Times New Roman" w:hAnsi="Times New Roman" w:eastAsia="仿宋_GB2312"/>
          <w:sz w:val="32"/>
          <w:szCs w:val="32"/>
          <w:highlight w:val="none"/>
          <w:lang w:bidi="ar"/>
        </w:rPr>
        <w:t>以上。（</w:t>
      </w:r>
      <w:r>
        <w:rPr>
          <w:rFonts w:hint="eastAsia" w:ascii="Times New Roman" w:hAnsi="Times New Roman" w:eastAsia="仿宋_GB2312"/>
          <w:sz w:val="32"/>
          <w:szCs w:val="32"/>
          <w:highlight w:val="none"/>
          <w:lang w:eastAsia="zh-CN" w:bidi="ar"/>
        </w:rPr>
        <w:t>华建</w:t>
      </w:r>
      <w:r>
        <w:rPr>
          <w:rFonts w:hint="eastAsia" w:ascii="Times New Roman" w:hAnsi="Times New Roman" w:eastAsia="仿宋_GB2312"/>
          <w:sz w:val="32"/>
          <w:szCs w:val="32"/>
          <w:highlight w:val="none"/>
          <w:lang w:bidi="ar"/>
        </w:rPr>
        <w:t>集团）</w:t>
      </w:r>
    </w:p>
    <w:p>
      <w:pPr>
        <w:spacing w:after="156" w:afterLines="50"/>
        <w:jc w:val="center"/>
        <w:rPr>
          <w:rFonts w:hint="eastAsia" w:ascii="Times New Roman" w:hAnsi="Times New Roman" w:eastAsia="华文中宋" w:cs="华文中宋"/>
          <w:sz w:val="36"/>
          <w:szCs w:val="36"/>
          <w:highlight w:val="none"/>
          <w:shd w:val="clear" w:color="auto" w:fill="FFFFFF"/>
        </w:rPr>
      </w:pPr>
    </w:p>
    <w:p>
      <w:pPr>
        <w:spacing w:after="156" w:afterLines="50"/>
        <w:jc w:val="center"/>
        <w:rPr>
          <w:rFonts w:hint="eastAsia"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rPr>
        <w:t>上海建工市政总院设计的河南省最大口径钢顶管</w:t>
      </w:r>
    </w:p>
    <w:p>
      <w:pPr>
        <w:spacing w:after="156" w:afterLines="50"/>
        <w:jc w:val="center"/>
        <w:rPr>
          <w:rFonts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rPr>
        <w:t>原水工程开工建设</w:t>
      </w:r>
    </w:p>
    <w:p>
      <w:pPr>
        <w:widowControl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近日，郑州市2022年基础设施项目集中开工仪式在郑开同城东部供水工程郑州东部原水干管工程（一期）施工现场举行。上海建工旗下市政总院如期完成设计</w:t>
      </w:r>
      <w:r>
        <w:rPr>
          <w:rFonts w:hint="eastAsia" w:ascii="Times New Roman" w:hAnsi="Times New Roman" w:eastAsia="仿宋_GB2312"/>
          <w:sz w:val="32"/>
          <w:szCs w:val="32"/>
          <w:highlight w:val="none"/>
          <w:lang w:eastAsia="zh-CN" w:bidi="ar"/>
        </w:rPr>
        <w:t>任务</w:t>
      </w:r>
      <w:r>
        <w:rPr>
          <w:rFonts w:hint="eastAsia" w:ascii="Times New Roman" w:hAnsi="Times New Roman" w:eastAsia="仿宋_GB2312"/>
          <w:sz w:val="32"/>
          <w:szCs w:val="32"/>
          <w:highlight w:val="none"/>
          <w:lang w:bidi="ar"/>
        </w:rPr>
        <w:t>。</w:t>
      </w:r>
    </w:p>
    <w:p>
      <w:pPr>
        <w:widowControl/>
        <w:autoSpaceDE w:val="0"/>
        <w:autoSpaceDN w:val="0"/>
        <w:adjustRightInd w:val="0"/>
        <w:ind w:firstLine="643" w:firstLineChars="200"/>
        <w:jc w:val="both"/>
        <w:rPr>
          <w:rFonts w:hint="eastAsia" w:ascii="Times New Roman" w:hAnsi="Times New Roman" w:eastAsia="仿宋_GB2312"/>
          <w:sz w:val="32"/>
          <w:szCs w:val="32"/>
          <w:highlight w:val="none"/>
          <w:lang w:bidi="ar"/>
        </w:rPr>
      </w:pPr>
      <w:r>
        <w:rPr>
          <w:rFonts w:hint="eastAsia" w:ascii="Times New Roman" w:hAnsi="Times New Roman" w:eastAsia="楷体_GB2312"/>
          <w:b/>
          <w:kern w:val="2"/>
          <w:sz w:val="32"/>
          <w:szCs w:val="32"/>
          <w:highlight w:val="none"/>
          <w:lang w:bidi="ar"/>
        </w:rPr>
        <w:t>供应两地十座水厂</w:t>
      </w:r>
      <w:r>
        <w:rPr>
          <w:rFonts w:hint="eastAsia" w:ascii="Times New Roman" w:hAnsi="Times New Roman" w:eastAsia="楷体_GB2312"/>
          <w:b/>
          <w:kern w:val="2"/>
          <w:sz w:val="32"/>
          <w:szCs w:val="32"/>
          <w:highlight w:val="none"/>
          <w:lang w:eastAsia="zh-CN" w:bidi="ar"/>
        </w:rPr>
        <w:t>，</w:t>
      </w:r>
      <w:r>
        <w:rPr>
          <w:rFonts w:hint="eastAsia" w:ascii="Times New Roman" w:hAnsi="Times New Roman" w:eastAsia="楷体_GB2312"/>
          <w:b/>
          <w:kern w:val="2"/>
          <w:sz w:val="32"/>
          <w:szCs w:val="32"/>
          <w:highlight w:val="none"/>
          <w:lang w:bidi="ar"/>
        </w:rPr>
        <w:t>覆盖人口规划约600万</w:t>
      </w:r>
      <w:r>
        <w:rPr>
          <w:rFonts w:hint="eastAsia" w:ascii="Times New Roman" w:hAnsi="Times New Roman" w:eastAsia="楷体_GB2312"/>
          <w:b/>
          <w:kern w:val="2"/>
          <w:sz w:val="32"/>
          <w:szCs w:val="32"/>
          <w:highlight w:val="none"/>
          <w:lang w:eastAsia="zh-CN" w:bidi="ar"/>
        </w:rPr>
        <w:t>。</w:t>
      </w:r>
      <w:r>
        <w:rPr>
          <w:rFonts w:hint="eastAsia" w:ascii="Times New Roman" w:hAnsi="Times New Roman" w:eastAsia="仿宋_GB2312"/>
          <w:sz w:val="32"/>
          <w:szCs w:val="32"/>
          <w:highlight w:val="none"/>
          <w:lang w:bidi="ar"/>
        </w:rPr>
        <w:t>工程将新建一条总长约45公里的原水干管，总输水规模为165万m3/d，是郑州市“供水一张网”工作的重要组成部分。工程结合南水北调干渠、黄河水源的地理位置，整合当前大东区分散的水厂布局，打破以往按行政辖区用水规划建设模式，通过工程措施实现城市供水一张网。建成后将打通郑州和开封两市的城市供水大动脉，为两地10座水厂供应水源，覆盖供水人口规划约600万，将显著提升区域供水安全和原水水质。</w:t>
      </w:r>
    </w:p>
    <w:p>
      <w:pPr>
        <w:widowControl w:val="0"/>
        <w:ind w:firstLine="643" w:firstLineChars="200"/>
        <w:jc w:val="both"/>
        <w:rPr>
          <w:rFonts w:hint="eastAsia" w:ascii="Times New Roman" w:hAnsi="Times New Roman" w:eastAsia="仿宋_GB2312"/>
          <w:sz w:val="32"/>
          <w:szCs w:val="32"/>
          <w:highlight w:val="none"/>
          <w:lang w:bidi="ar"/>
        </w:rPr>
      </w:pPr>
      <w:r>
        <w:rPr>
          <w:rFonts w:hint="eastAsia" w:ascii="Times New Roman" w:hAnsi="Times New Roman" w:eastAsia="楷体_GB2312"/>
          <w:b/>
          <w:kern w:val="2"/>
          <w:sz w:val="32"/>
          <w:szCs w:val="32"/>
          <w:highlight w:val="none"/>
          <w:lang w:bidi="ar"/>
        </w:rPr>
        <w:t>河南最大口径钢顶管工程</w:t>
      </w:r>
      <w:r>
        <w:rPr>
          <w:rFonts w:hint="eastAsia" w:ascii="Times New Roman" w:hAnsi="Times New Roman" w:eastAsia="楷体_GB2312"/>
          <w:b/>
          <w:kern w:val="2"/>
          <w:sz w:val="32"/>
          <w:szCs w:val="32"/>
          <w:highlight w:val="none"/>
          <w:lang w:eastAsia="zh-CN" w:bidi="ar"/>
        </w:rPr>
        <w:t>，</w:t>
      </w:r>
      <w:r>
        <w:rPr>
          <w:rFonts w:hint="eastAsia" w:ascii="Times New Roman" w:hAnsi="Times New Roman" w:eastAsia="楷体_GB2312"/>
          <w:b/>
          <w:kern w:val="2"/>
          <w:sz w:val="32"/>
          <w:szCs w:val="32"/>
          <w:highlight w:val="none"/>
          <w:lang w:bidi="ar"/>
        </w:rPr>
        <w:t>形成引领示范</w:t>
      </w:r>
      <w:r>
        <w:rPr>
          <w:rFonts w:hint="eastAsia" w:ascii="Times New Roman" w:hAnsi="Times New Roman" w:eastAsia="楷体_GB2312"/>
          <w:b/>
          <w:kern w:val="2"/>
          <w:sz w:val="32"/>
          <w:szCs w:val="32"/>
          <w:highlight w:val="none"/>
          <w:lang w:eastAsia="zh-CN" w:bidi="ar"/>
        </w:rPr>
        <w:t>。</w:t>
      </w:r>
      <w:r>
        <w:rPr>
          <w:rFonts w:hint="eastAsia" w:ascii="Times New Roman" w:hAnsi="Times New Roman" w:eastAsia="仿宋_GB2312"/>
          <w:sz w:val="32"/>
          <w:szCs w:val="32"/>
          <w:highlight w:val="none"/>
          <w:lang w:bidi="ar"/>
        </w:rPr>
        <w:t>工程兼顾南水北调常用水源及黄河备用水源输水的重要任务，设置一座中途增压泵站向3座水厂增压供南水北调水，泵站同时兼顾反向供黄河备用水源工况，其中还包括不同运行水量下超越供水、单方向加压供水和双向加压供水等工况，系统运行工况十分复杂。项目跨越郑州市3个行政辖区，地形及障碍物数量多、情况复杂。由于管线主要线路均位于市区地段，因此工程基本为全线顶管施工，采用的大口径长距离钢顶管在河南地区市政供水领域尚属首例。</w:t>
      </w:r>
    </w:p>
    <w:p>
      <w:pPr>
        <w:widowControl w:val="0"/>
        <w:spacing w:after="0" w:afterLines="-2147483648"/>
        <w:ind w:right="0" w:rightChars="0" w:firstLine="643" w:firstLineChars="200"/>
        <w:jc w:val="both"/>
        <w:rPr>
          <w:rFonts w:hint="eastAsia" w:ascii="Times New Roman" w:hAnsi="Times New Roman" w:eastAsia="仿宋_GB2312"/>
          <w:sz w:val="32"/>
          <w:szCs w:val="32"/>
          <w:highlight w:val="none"/>
          <w:lang w:bidi="ar"/>
        </w:rPr>
      </w:pPr>
      <w:r>
        <w:rPr>
          <w:rFonts w:hint="eastAsia" w:ascii="Times New Roman" w:hAnsi="Times New Roman" w:eastAsia="楷体_GB2312"/>
          <w:b/>
          <w:kern w:val="2"/>
          <w:sz w:val="32"/>
          <w:szCs w:val="32"/>
          <w:highlight w:val="none"/>
          <w:lang w:bidi="ar"/>
        </w:rPr>
        <w:t>应用BIM技术</w:t>
      </w:r>
      <w:r>
        <w:rPr>
          <w:rFonts w:hint="eastAsia" w:ascii="Times New Roman" w:hAnsi="Times New Roman" w:eastAsia="楷体_GB2312"/>
          <w:b/>
          <w:kern w:val="2"/>
          <w:sz w:val="32"/>
          <w:szCs w:val="32"/>
          <w:highlight w:val="none"/>
          <w:lang w:eastAsia="zh-CN" w:bidi="ar"/>
        </w:rPr>
        <w:t>，</w:t>
      </w:r>
      <w:r>
        <w:rPr>
          <w:rFonts w:hint="eastAsia" w:ascii="Times New Roman" w:hAnsi="Times New Roman" w:eastAsia="楷体_GB2312"/>
          <w:b/>
          <w:kern w:val="2"/>
          <w:sz w:val="32"/>
          <w:szCs w:val="32"/>
          <w:highlight w:val="none"/>
          <w:lang w:bidi="ar"/>
        </w:rPr>
        <w:t>注重数字融合</w:t>
      </w:r>
      <w:r>
        <w:rPr>
          <w:rFonts w:hint="eastAsia" w:ascii="Times New Roman" w:hAnsi="Times New Roman" w:eastAsia="楷体_GB2312"/>
          <w:b/>
          <w:kern w:val="2"/>
          <w:sz w:val="32"/>
          <w:szCs w:val="32"/>
          <w:highlight w:val="none"/>
          <w:lang w:eastAsia="zh-CN" w:bidi="ar"/>
        </w:rPr>
        <w:t>。</w:t>
      </w:r>
      <w:r>
        <w:rPr>
          <w:rFonts w:hint="eastAsia" w:ascii="Times New Roman" w:hAnsi="Times New Roman" w:eastAsia="仿宋_GB2312"/>
          <w:sz w:val="32"/>
          <w:szCs w:val="32"/>
          <w:highlight w:val="none"/>
          <w:lang w:bidi="ar"/>
        </w:rPr>
        <w:t>本工程同步开展BIM技术应用，基于地形布置，管线穿越路径上河道、高速、国道、地铁、重大市政管线等障碍物，将管道工程与主要障碍的关系进行三维可视化，为设计决策提供依据。利用BIM创新手段助力工程设计，并为后续施工、运维建设提供支撑，实现管道工程质量与风险的双管控。同时，开发了适用于大型原水输水工程的常见特种设备、常见构筑物异形构建等BIM族库，保障BIM技术的成熟运用。（上海</w:t>
      </w:r>
      <w:r>
        <w:rPr>
          <w:rFonts w:hint="eastAsia" w:ascii="Times New Roman" w:hAnsi="Times New Roman" w:eastAsia="仿宋_GB2312"/>
          <w:sz w:val="32"/>
          <w:szCs w:val="32"/>
          <w:highlight w:val="none"/>
          <w:lang w:eastAsia="zh-CN" w:bidi="ar"/>
        </w:rPr>
        <w:t>建工</w:t>
      </w:r>
      <w:r>
        <w:rPr>
          <w:rFonts w:hint="eastAsia" w:ascii="Times New Roman" w:hAnsi="Times New Roman" w:eastAsia="仿宋_GB2312"/>
          <w:sz w:val="32"/>
          <w:szCs w:val="32"/>
          <w:highlight w:val="none"/>
          <w:lang w:bidi="ar"/>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onotype Corsiva">
    <w:altName w:val="方正宋体S-超大字符集(SIP)"/>
    <w:panose1 w:val="03010101010201010101"/>
    <w:charset w:val="00"/>
    <w:family w:val="script"/>
    <w:pitch w:val="default"/>
    <w:sig w:usb0="00000000" w:usb1="00000000" w:usb2="00000000" w:usb3="00000000" w:csb0="2000009F" w:csb1="DFD70000"/>
  </w:font>
  <w:font w:name="方正舒体">
    <w:altName w:val="黑体"/>
    <w:panose1 w:val="02010601030101010101"/>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082953191"/>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12</w:t>
        </w:r>
        <w:r>
          <w:rPr>
            <w:rStyle w:val="12"/>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262157374"/>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B75B6"/>
    <w:rsid w:val="000C2233"/>
    <w:rsid w:val="000C73CD"/>
    <w:rsid w:val="000E4EB6"/>
    <w:rsid w:val="000E713B"/>
    <w:rsid w:val="0010619F"/>
    <w:rsid w:val="001302CE"/>
    <w:rsid w:val="00137FEB"/>
    <w:rsid w:val="0017433C"/>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607335"/>
    <w:rsid w:val="00614879"/>
    <w:rsid w:val="006178CF"/>
    <w:rsid w:val="0064451D"/>
    <w:rsid w:val="006827D8"/>
    <w:rsid w:val="00686359"/>
    <w:rsid w:val="006A5FB6"/>
    <w:rsid w:val="006C1F18"/>
    <w:rsid w:val="006F1F01"/>
    <w:rsid w:val="007016C0"/>
    <w:rsid w:val="0070353C"/>
    <w:rsid w:val="0070399D"/>
    <w:rsid w:val="00733A93"/>
    <w:rsid w:val="00755463"/>
    <w:rsid w:val="00771016"/>
    <w:rsid w:val="007A49EC"/>
    <w:rsid w:val="007A516B"/>
    <w:rsid w:val="007B697D"/>
    <w:rsid w:val="00814993"/>
    <w:rsid w:val="008533D2"/>
    <w:rsid w:val="00855182"/>
    <w:rsid w:val="0087106F"/>
    <w:rsid w:val="008811BF"/>
    <w:rsid w:val="008B0AF8"/>
    <w:rsid w:val="008B0FE7"/>
    <w:rsid w:val="008D7D29"/>
    <w:rsid w:val="008E5A03"/>
    <w:rsid w:val="0090692F"/>
    <w:rsid w:val="00926779"/>
    <w:rsid w:val="00954CFE"/>
    <w:rsid w:val="009B48F2"/>
    <w:rsid w:val="009B73F6"/>
    <w:rsid w:val="009C00C2"/>
    <w:rsid w:val="009E005E"/>
    <w:rsid w:val="009E222B"/>
    <w:rsid w:val="00A11F0C"/>
    <w:rsid w:val="00A34644"/>
    <w:rsid w:val="00A652DB"/>
    <w:rsid w:val="00A94ECC"/>
    <w:rsid w:val="00AA2791"/>
    <w:rsid w:val="00AB1063"/>
    <w:rsid w:val="00AB3C9D"/>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547F1"/>
    <w:rsid w:val="00E65D74"/>
    <w:rsid w:val="00E81E0A"/>
    <w:rsid w:val="00E850DA"/>
    <w:rsid w:val="00E90F8A"/>
    <w:rsid w:val="00EA4E85"/>
    <w:rsid w:val="00EC6E62"/>
    <w:rsid w:val="00EF61F1"/>
    <w:rsid w:val="00F21840"/>
    <w:rsid w:val="00F53C34"/>
    <w:rsid w:val="00F91A1A"/>
    <w:rsid w:val="00FA0227"/>
    <w:rsid w:val="00FC07B7"/>
    <w:rsid w:val="00FC2E34"/>
    <w:rsid w:val="00FC44A9"/>
    <w:rsid w:val="0106405D"/>
    <w:rsid w:val="01160EA3"/>
    <w:rsid w:val="012F7699"/>
    <w:rsid w:val="013851DA"/>
    <w:rsid w:val="014B07F6"/>
    <w:rsid w:val="015476DB"/>
    <w:rsid w:val="016A7D77"/>
    <w:rsid w:val="016F283F"/>
    <w:rsid w:val="017F5714"/>
    <w:rsid w:val="018F6A3E"/>
    <w:rsid w:val="01A86BBB"/>
    <w:rsid w:val="01BE4AB7"/>
    <w:rsid w:val="02191E9F"/>
    <w:rsid w:val="02272D09"/>
    <w:rsid w:val="022C3ECA"/>
    <w:rsid w:val="02581A32"/>
    <w:rsid w:val="025E2CEB"/>
    <w:rsid w:val="02783D4A"/>
    <w:rsid w:val="027849AA"/>
    <w:rsid w:val="028E5BCE"/>
    <w:rsid w:val="02993083"/>
    <w:rsid w:val="029D4945"/>
    <w:rsid w:val="02BC4BE1"/>
    <w:rsid w:val="02EE29ED"/>
    <w:rsid w:val="02F17217"/>
    <w:rsid w:val="0309108C"/>
    <w:rsid w:val="030B27EE"/>
    <w:rsid w:val="0332738A"/>
    <w:rsid w:val="0336518B"/>
    <w:rsid w:val="034D3112"/>
    <w:rsid w:val="03734FC2"/>
    <w:rsid w:val="039320A2"/>
    <w:rsid w:val="03EA5256"/>
    <w:rsid w:val="03FC4949"/>
    <w:rsid w:val="03FE15DB"/>
    <w:rsid w:val="042E07AD"/>
    <w:rsid w:val="044E2487"/>
    <w:rsid w:val="04581854"/>
    <w:rsid w:val="045D2CDA"/>
    <w:rsid w:val="04A441ED"/>
    <w:rsid w:val="04B05DEF"/>
    <w:rsid w:val="04BC02DB"/>
    <w:rsid w:val="04D213A5"/>
    <w:rsid w:val="051D3BF0"/>
    <w:rsid w:val="0561044A"/>
    <w:rsid w:val="056441D3"/>
    <w:rsid w:val="056905C6"/>
    <w:rsid w:val="05883E17"/>
    <w:rsid w:val="05B253F0"/>
    <w:rsid w:val="05B9052D"/>
    <w:rsid w:val="05C217CC"/>
    <w:rsid w:val="060A4F83"/>
    <w:rsid w:val="063400E4"/>
    <w:rsid w:val="0676641E"/>
    <w:rsid w:val="06C54B1C"/>
    <w:rsid w:val="06CE625A"/>
    <w:rsid w:val="06DD20DC"/>
    <w:rsid w:val="06E1523D"/>
    <w:rsid w:val="06E15F8D"/>
    <w:rsid w:val="06EA4586"/>
    <w:rsid w:val="06F02F02"/>
    <w:rsid w:val="06F20FC3"/>
    <w:rsid w:val="070677A2"/>
    <w:rsid w:val="072132C6"/>
    <w:rsid w:val="075E096D"/>
    <w:rsid w:val="076B6ED0"/>
    <w:rsid w:val="07A5586E"/>
    <w:rsid w:val="07B15B08"/>
    <w:rsid w:val="07F8789F"/>
    <w:rsid w:val="080726D2"/>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5598B"/>
    <w:rsid w:val="0AE44A7F"/>
    <w:rsid w:val="0B096D48"/>
    <w:rsid w:val="0B103C3C"/>
    <w:rsid w:val="0B294C45"/>
    <w:rsid w:val="0B716BC4"/>
    <w:rsid w:val="0B7A075E"/>
    <w:rsid w:val="0B8D0492"/>
    <w:rsid w:val="0B9FED80"/>
    <w:rsid w:val="0BA12063"/>
    <w:rsid w:val="0BB275A6"/>
    <w:rsid w:val="0BDD4FB0"/>
    <w:rsid w:val="0C3E6914"/>
    <w:rsid w:val="0C6C3047"/>
    <w:rsid w:val="0C7565A8"/>
    <w:rsid w:val="0CAD6525"/>
    <w:rsid w:val="0CC872A8"/>
    <w:rsid w:val="0CE155CB"/>
    <w:rsid w:val="0CED43FB"/>
    <w:rsid w:val="0D210971"/>
    <w:rsid w:val="0D37001E"/>
    <w:rsid w:val="0D3928BE"/>
    <w:rsid w:val="0D405202"/>
    <w:rsid w:val="0D6727FF"/>
    <w:rsid w:val="0D6E4F86"/>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E1CB6"/>
    <w:rsid w:val="13E23345"/>
    <w:rsid w:val="13FF9570"/>
    <w:rsid w:val="140F6CD8"/>
    <w:rsid w:val="142259AD"/>
    <w:rsid w:val="143134CE"/>
    <w:rsid w:val="14711B9F"/>
    <w:rsid w:val="147F1D38"/>
    <w:rsid w:val="14A92FE1"/>
    <w:rsid w:val="14AC3033"/>
    <w:rsid w:val="14B3099F"/>
    <w:rsid w:val="14B60DBE"/>
    <w:rsid w:val="14DD6852"/>
    <w:rsid w:val="14E5131D"/>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8A6269"/>
    <w:rsid w:val="179700E2"/>
    <w:rsid w:val="17D6307D"/>
    <w:rsid w:val="17EC425D"/>
    <w:rsid w:val="17ECC66A"/>
    <w:rsid w:val="17F84EE5"/>
    <w:rsid w:val="180748E2"/>
    <w:rsid w:val="18215A56"/>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B0612A8"/>
    <w:rsid w:val="1B077EE7"/>
    <w:rsid w:val="1B142621"/>
    <w:rsid w:val="1B1F09DB"/>
    <w:rsid w:val="1B32070E"/>
    <w:rsid w:val="1B69745E"/>
    <w:rsid w:val="1B6B0D73"/>
    <w:rsid w:val="1B6D28A5"/>
    <w:rsid w:val="1B7F2AE9"/>
    <w:rsid w:val="1B90327A"/>
    <w:rsid w:val="1BB074A7"/>
    <w:rsid w:val="1BB4747C"/>
    <w:rsid w:val="1BB8C628"/>
    <w:rsid w:val="1BBB39A1"/>
    <w:rsid w:val="1BC34195"/>
    <w:rsid w:val="1BD8567E"/>
    <w:rsid w:val="1BDF22F2"/>
    <w:rsid w:val="1C312724"/>
    <w:rsid w:val="1C366EC8"/>
    <w:rsid w:val="1C4D7F52"/>
    <w:rsid w:val="1C805614"/>
    <w:rsid w:val="1CA71F00"/>
    <w:rsid w:val="1CBD3FFE"/>
    <w:rsid w:val="1CBE2FD4"/>
    <w:rsid w:val="1CC35F1C"/>
    <w:rsid w:val="1CDC7546"/>
    <w:rsid w:val="1CF33ECD"/>
    <w:rsid w:val="1D0258A9"/>
    <w:rsid w:val="1D2251D7"/>
    <w:rsid w:val="1D481109"/>
    <w:rsid w:val="1D5361AD"/>
    <w:rsid w:val="1DAA4ED3"/>
    <w:rsid w:val="1DE226F6"/>
    <w:rsid w:val="1DFE3406"/>
    <w:rsid w:val="1E756385"/>
    <w:rsid w:val="1E8B1FEC"/>
    <w:rsid w:val="1EB11921"/>
    <w:rsid w:val="1EB91754"/>
    <w:rsid w:val="1EC4217D"/>
    <w:rsid w:val="1EF9C54E"/>
    <w:rsid w:val="1F4B0664"/>
    <w:rsid w:val="1F592C68"/>
    <w:rsid w:val="1F642775"/>
    <w:rsid w:val="1F6DF702"/>
    <w:rsid w:val="1F7C289F"/>
    <w:rsid w:val="1F7FE508"/>
    <w:rsid w:val="1F8B2AE2"/>
    <w:rsid w:val="1F916AB3"/>
    <w:rsid w:val="1F953961"/>
    <w:rsid w:val="1FB1659D"/>
    <w:rsid w:val="1FC55C88"/>
    <w:rsid w:val="1FEF209F"/>
    <w:rsid w:val="1FF05635"/>
    <w:rsid w:val="1FF31CF7"/>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E3358"/>
    <w:rsid w:val="24257906"/>
    <w:rsid w:val="243E45C7"/>
    <w:rsid w:val="244260AD"/>
    <w:rsid w:val="247229E8"/>
    <w:rsid w:val="24871919"/>
    <w:rsid w:val="249F2727"/>
    <w:rsid w:val="24D5612F"/>
    <w:rsid w:val="24EE778A"/>
    <w:rsid w:val="25323BFF"/>
    <w:rsid w:val="253E2E7F"/>
    <w:rsid w:val="253E4BFC"/>
    <w:rsid w:val="2562372C"/>
    <w:rsid w:val="25652B73"/>
    <w:rsid w:val="257D21C8"/>
    <w:rsid w:val="257D7D42"/>
    <w:rsid w:val="25890B8B"/>
    <w:rsid w:val="25893995"/>
    <w:rsid w:val="25922659"/>
    <w:rsid w:val="26252D3B"/>
    <w:rsid w:val="264B2FCC"/>
    <w:rsid w:val="265C7550"/>
    <w:rsid w:val="26BF8E80"/>
    <w:rsid w:val="26C80178"/>
    <w:rsid w:val="26D8095A"/>
    <w:rsid w:val="272D1C75"/>
    <w:rsid w:val="273566E0"/>
    <w:rsid w:val="27367DB0"/>
    <w:rsid w:val="275344C2"/>
    <w:rsid w:val="276A122F"/>
    <w:rsid w:val="27752CC6"/>
    <w:rsid w:val="27A07C73"/>
    <w:rsid w:val="27A651C9"/>
    <w:rsid w:val="27AE2E87"/>
    <w:rsid w:val="27B572E1"/>
    <w:rsid w:val="27D8516B"/>
    <w:rsid w:val="27FE3BCB"/>
    <w:rsid w:val="2858552C"/>
    <w:rsid w:val="288E6BD5"/>
    <w:rsid w:val="28A2213D"/>
    <w:rsid w:val="28B0060B"/>
    <w:rsid w:val="28BB5D28"/>
    <w:rsid w:val="28C03598"/>
    <w:rsid w:val="28DB1529"/>
    <w:rsid w:val="28F15BC1"/>
    <w:rsid w:val="28FB3D1E"/>
    <w:rsid w:val="29146F2D"/>
    <w:rsid w:val="29283896"/>
    <w:rsid w:val="292B1457"/>
    <w:rsid w:val="293D309F"/>
    <w:rsid w:val="2944442E"/>
    <w:rsid w:val="29513A7E"/>
    <w:rsid w:val="29625B64"/>
    <w:rsid w:val="297266AA"/>
    <w:rsid w:val="29770FFB"/>
    <w:rsid w:val="29E67538"/>
    <w:rsid w:val="2A110D2B"/>
    <w:rsid w:val="2A1C3F0A"/>
    <w:rsid w:val="2A2312FE"/>
    <w:rsid w:val="2A2657D5"/>
    <w:rsid w:val="2A457487"/>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B431B9"/>
    <w:rsid w:val="2CBB717D"/>
    <w:rsid w:val="2CDA5AF8"/>
    <w:rsid w:val="2CE12129"/>
    <w:rsid w:val="2CFC4180"/>
    <w:rsid w:val="2D37707D"/>
    <w:rsid w:val="2D3F7BCD"/>
    <w:rsid w:val="2D5E35E4"/>
    <w:rsid w:val="2D812430"/>
    <w:rsid w:val="2DBD47AF"/>
    <w:rsid w:val="2DDE6026"/>
    <w:rsid w:val="2DFD1FB1"/>
    <w:rsid w:val="2DFFC2AB"/>
    <w:rsid w:val="2E0F515D"/>
    <w:rsid w:val="2E431884"/>
    <w:rsid w:val="2E7C01C6"/>
    <w:rsid w:val="2E90020C"/>
    <w:rsid w:val="2EA245EF"/>
    <w:rsid w:val="2EAB7223"/>
    <w:rsid w:val="2EAD0EC5"/>
    <w:rsid w:val="2EB77450"/>
    <w:rsid w:val="2EC92CDF"/>
    <w:rsid w:val="2ED753FC"/>
    <w:rsid w:val="2EDC2A13"/>
    <w:rsid w:val="2EE753F6"/>
    <w:rsid w:val="2EF27E76"/>
    <w:rsid w:val="2F0C3A34"/>
    <w:rsid w:val="2F115758"/>
    <w:rsid w:val="2F306818"/>
    <w:rsid w:val="2F421E9F"/>
    <w:rsid w:val="2F57B80A"/>
    <w:rsid w:val="2F7701F4"/>
    <w:rsid w:val="2F83700A"/>
    <w:rsid w:val="2FCC6774"/>
    <w:rsid w:val="2FCF30BB"/>
    <w:rsid w:val="2FD52BB2"/>
    <w:rsid w:val="2FDF5CAC"/>
    <w:rsid w:val="2FEE46DB"/>
    <w:rsid w:val="2FEFAAF3"/>
    <w:rsid w:val="2FF02B05"/>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AE00E"/>
    <w:rsid w:val="32572665"/>
    <w:rsid w:val="325A3079"/>
    <w:rsid w:val="325A6415"/>
    <w:rsid w:val="32627278"/>
    <w:rsid w:val="328178CA"/>
    <w:rsid w:val="32821FC4"/>
    <w:rsid w:val="32847D6D"/>
    <w:rsid w:val="32B11D6B"/>
    <w:rsid w:val="32D37DB5"/>
    <w:rsid w:val="32FF7915"/>
    <w:rsid w:val="331E20AC"/>
    <w:rsid w:val="332A73EA"/>
    <w:rsid w:val="33983728"/>
    <w:rsid w:val="33A34936"/>
    <w:rsid w:val="33D5E67C"/>
    <w:rsid w:val="33D91377"/>
    <w:rsid w:val="34071D68"/>
    <w:rsid w:val="343B70D4"/>
    <w:rsid w:val="34693182"/>
    <w:rsid w:val="346A2930"/>
    <w:rsid w:val="348D4D8F"/>
    <w:rsid w:val="34B61205"/>
    <w:rsid w:val="34CC64BD"/>
    <w:rsid w:val="34D00377"/>
    <w:rsid w:val="34E92F3F"/>
    <w:rsid w:val="34FA1E45"/>
    <w:rsid w:val="351F5D4F"/>
    <w:rsid w:val="35233181"/>
    <w:rsid w:val="357EEE2E"/>
    <w:rsid w:val="35C4598D"/>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8F705B"/>
    <w:rsid w:val="37AB4837"/>
    <w:rsid w:val="37BD621F"/>
    <w:rsid w:val="37C16C4A"/>
    <w:rsid w:val="37FE0197"/>
    <w:rsid w:val="383C63DD"/>
    <w:rsid w:val="38481310"/>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A040F3C"/>
    <w:rsid w:val="3A192D6D"/>
    <w:rsid w:val="3A1A63DF"/>
    <w:rsid w:val="3A3B7A62"/>
    <w:rsid w:val="3A5610EA"/>
    <w:rsid w:val="3A5B32CD"/>
    <w:rsid w:val="3A7F3AB6"/>
    <w:rsid w:val="3A8B75BA"/>
    <w:rsid w:val="3A900B55"/>
    <w:rsid w:val="3AB74E7B"/>
    <w:rsid w:val="3AD44EE6"/>
    <w:rsid w:val="3AD7E7A5"/>
    <w:rsid w:val="3ADB3D07"/>
    <w:rsid w:val="3AF83C8C"/>
    <w:rsid w:val="3B1654FE"/>
    <w:rsid w:val="3B1E4680"/>
    <w:rsid w:val="3B2A71FC"/>
    <w:rsid w:val="3B537311"/>
    <w:rsid w:val="3B7E6473"/>
    <w:rsid w:val="3B9E40F9"/>
    <w:rsid w:val="3BBA4D52"/>
    <w:rsid w:val="3BD74519"/>
    <w:rsid w:val="3BDC16AF"/>
    <w:rsid w:val="3BE52A39"/>
    <w:rsid w:val="3BE84E70"/>
    <w:rsid w:val="3BFB6FAE"/>
    <w:rsid w:val="3C1825A4"/>
    <w:rsid w:val="3C1E46D5"/>
    <w:rsid w:val="3C96689A"/>
    <w:rsid w:val="3D1D17B6"/>
    <w:rsid w:val="3D4109B2"/>
    <w:rsid w:val="3D4B4EAB"/>
    <w:rsid w:val="3D4D2D2E"/>
    <w:rsid w:val="3D627C3E"/>
    <w:rsid w:val="3D7FE9B7"/>
    <w:rsid w:val="3D98044D"/>
    <w:rsid w:val="3D9A62B6"/>
    <w:rsid w:val="3D9B618F"/>
    <w:rsid w:val="3D9E6CBA"/>
    <w:rsid w:val="3DAB63D2"/>
    <w:rsid w:val="3DB65977"/>
    <w:rsid w:val="3DF32DF4"/>
    <w:rsid w:val="3E310271"/>
    <w:rsid w:val="3E636CAD"/>
    <w:rsid w:val="3E6E11AD"/>
    <w:rsid w:val="3E7E7642"/>
    <w:rsid w:val="3E807EF2"/>
    <w:rsid w:val="3E9950E6"/>
    <w:rsid w:val="3E9FDC00"/>
    <w:rsid w:val="3EBF7396"/>
    <w:rsid w:val="3ECA0FAD"/>
    <w:rsid w:val="3ED54B2F"/>
    <w:rsid w:val="3EEFC2EB"/>
    <w:rsid w:val="3EF545D4"/>
    <w:rsid w:val="3F2D1834"/>
    <w:rsid w:val="3F3101B5"/>
    <w:rsid w:val="3F732378"/>
    <w:rsid w:val="3F7B2D8C"/>
    <w:rsid w:val="3F87756C"/>
    <w:rsid w:val="3FBB10F7"/>
    <w:rsid w:val="3FBFB2C1"/>
    <w:rsid w:val="3FC62645"/>
    <w:rsid w:val="3FCB7D3B"/>
    <w:rsid w:val="3FD87226"/>
    <w:rsid w:val="3FDA6FFE"/>
    <w:rsid w:val="3FE26C71"/>
    <w:rsid w:val="3FF736A7"/>
    <w:rsid w:val="3FFBD45F"/>
    <w:rsid w:val="400A0B64"/>
    <w:rsid w:val="40112738"/>
    <w:rsid w:val="401D5FC7"/>
    <w:rsid w:val="40224BB0"/>
    <w:rsid w:val="40623BB7"/>
    <w:rsid w:val="4064171F"/>
    <w:rsid w:val="406C7E62"/>
    <w:rsid w:val="4081373D"/>
    <w:rsid w:val="40996ECE"/>
    <w:rsid w:val="409C1FA4"/>
    <w:rsid w:val="40A50042"/>
    <w:rsid w:val="40D95004"/>
    <w:rsid w:val="40F73B40"/>
    <w:rsid w:val="410417E6"/>
    <w:rsid w:val="410C42C2"/>
    <w:rsid w:val="411211BD"/>
    <w:rsid w:val="412D70DB"/>
    <w:rsid w:val="41356D39"/>
    <w:rsid w:val="41586871"/>
    <w:rsid w:val="418A4550"/>
    <w:rsid w:val="41AF1E20"/>
    <w:rsid w:val="41B700BE"/>
    <w:rsid w:val="41C06DDF"/>
    <w:rsid w:val="41D57EC1"/>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A59B1"/>
    <w:rsid w:val="43DBE997"/>
    <w:rsid w:val="43E06794"/>
    <w:rsid w:val="440E7F9D"/>
    <w:rsid w:val="44250560"/>
    <w:rsid w:val="44344E80"/>
    <w:rsid w:val="44377C79"/>
    <w:rsid w:val="44380257"/>
    <w:rsid w:val="444D4739"/>
    <w:rsid w:val="446E7C5F"/>
    <w:rsid w:val="448564A3"/>
    <w:rsid w:val="448F7185"/>
    <w:rsid w:val="449776B0"/>
    <w:rsid w:val="44AE027F"/>
    <w:rsid w:val="44B32010"/>
    <w:rsid w:val="44BE2E8F"/>
    <w:rsid w:val="44EF24B6"/>
    <w:rsid w:val="450703F9"/>
    <w:rsid w:val="4510761C"/>
    <w:rsid w:val="452438BF"/>
    <w:rsid w:val="453677FF"/>
    <w:rsid w:val="455523D4"/>
    <w:rsid w:val="455671BE"/>
    <w:rsid w:val="455D45C9"/>
    <w:rsid w:val="457B7A6B"/>
    <w:rsid w:val="457F787C"/>
    <w:rsid w:val="459C4C27"/>
    <w:rsid w:val="45CC15DB"/>
    <w:rsid w:val="45EC21FE"/>
    <w:rsid w:val="46064E49"/>
    <w:rsid w:val="46297193"/>
    <w:rsid w:val="46380EA2"/>
    <w:rsid w:val="46466945"/>
    <w:rsid w:val="466D1874"/>
    <w:rsid w:val="46780545"/>
    <w:rsid w:val="469043B7"/>
    <w:rsid w:val="46BA58D8"/>
    <w:rsid w:val="46CA4706"/>
    <w:rsid w:val="46DC584E"/>
    <w:rsid w:val="46F31C44"/>
    <w:rsid w:val="46FA3A85"/>
    <w:rsid w:val="47541888"/>
    <w:rsid w:val="475573AE"/>
    <w:rsid w:val="475F2220"/>
    <w:rsid w:val="475F6B28"/>
    <w:rsid w:val="47AC5D2C"/>
    <w:rsid w:val="47B37EF8"/>
    <w:rsid w:val="47E81FD1"/>
    <w:rsid w:val="47FD5CB7"/>
    <w:rsid w:val="47FFF59F"/>
    <w:rsid w:val="48210086"/>
    <w:rsid w:val="48353277"/>
    <w:rsid w:val="48353A66"/>
    <w:rsid w:val="485A6BE0"/>
    <w:rsid w:val="48AD63D4"/>
    <w:rsid w:val="48C22822"/>
    <w:rsid w:val="48C81442"/>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E807F1"/>
    <w:rsid w:val="4C186974"/>
    <w:rsid w:val="4C293FCF"/>
    <w:rsid w:val="4C602076"/>
    <w:rsid w:val="4C7D6CC5"/>
    <w:rsid w:val="4C9A1035"/>
    <w:rsid w:val="4C9E5360"/>
    <w:rsid w:val="4CA42A33"/>
    <w:rsid w:val="4CC00BCE"/>
    <w:rsid w:val="4CC65240"/>
    <w:rsid w:val="4CCC5FA3"/>
    <w:rsid w:val="4CDA3DEF"/>
    <w:rsid w:val="4CEF4CA8"/>
    <w:rsid w:val="4CFF585E"/>
    <w:rsid w:val="4D3C100D"/>
    <w:rsid w:val="4D56487E"/>
    <w:rsid w:val="4D721995"/>
    <w:rsid w:val="4D8E784E"/>
    <w:rsid w:val="4D94711C"/>
    <w:rsid w:val="4DC572DA"/>
    <w:rsid w:val="4DC808DA"/>
    <w:rsid w:val="4DF711BF"/>
    <w:rsid w:val="4E3D0C3F"/>
    <w:rsid w:val="4E55DC1B"/>
    <w:rsid w:val="4E7416CB"/>
    <w:rsid w:val="4E7A4E88"/>
    <w:rsid w:val="4E7F5F2E"/>
    <w:rsid w:val="4EBD5F65"/>
    <w:rsid w:val="4EBE56A0"/>
    <w:rsid w:val="4EC30082"/>
    <w:rsid w:val="4ED14027"/>
    <w:rsid w:val="4EF609BE"/>
    <w:rsid w:val="4EFB766D"/>
    <w:rsid w:val="4F28431D"/>
    <w:rsid w:val="4F4421E2"/>
    <w:rsid w:val="4F451EFA"/>
    <w:rsid w:val="4F620CCD"/>
    <w:rsid w:val="4F660E4F"/>
    <w:rsid w:val="4F786EFC"/>
    <w:rsid w:val="4F7F35ED"/>
    <w:rsid w:val="4F97F24A"/>
    <w:rsid w:val="4F9E30E2"/>
    <w:rsid w:val="4FC81AB6"/>
    <w:rsid w:val="4FC955C3"/>
    <w:rsid w:val="4FC955E3"/>
    <w:rsid w:val="4FD71F3E"/>
    <w:rsid w:val="4FE55A96"/>
    <w:rsid w:val="4FE79ABF"/>
    <w:rsid w:val="4FE81398"/>
    <w:rsid w:val="500D786D"/>
    <w:rsid w:val="503822FE"/>
    <w:rsid w:val="50533347"/>
    <w:rsid w:val="506C0F75"/>
    <w:rsid w:val="507234D9"/>
    <w:rsid w:val="50844312"/>
    <w:rsid w:val="50856264"/>
    <w:rsid w:val="508948E5"/>
    <w:rsid w:val="50A75D18"/>
    <w:rsid w:val="50AF2244"/>
    <w:rsid w:val="50B05148"/>
    <w:rsid w:val="50B53FBE"/>
    <w:rsid w:val="50CA399C"/>
    <w:rsid w:val="50CB0E83"/>
    <w:rsid w:val="50D3331D"/>
    <w:rsid w:val="50E6185A"/>
    <w:rsid w:val="50FD1FCA"/>
    <w:rsid w:val="510309E5"/>
    <w:rsid w:val="5167665C"/>
    <w:rsid w:val="516A3A56"/>
    <w:rsid w:val="519138FA"/>
    <w:rsid w:val="51F64CB1"/>
    <w:rsid w:val="521EFBAC"/>
    <w:rsid w:val="52297EF2"/>
    <w:rsid w:val="5249383B"/>
    <w:rsid w:val="5273380C"/>
    <w:rsid w:val="52CB49C9"/>
    <w:rsid w:val="52E63682"/>
    <w:rsid w:val="52EF40ED"/>
    <w:rsid w:val="530C34C1"/>
    <w:rsid w:val="533573F7"/>
    <w:rsid w:val="534222E1"/>
    <w:rsid w:val="53567573"/>
    <w:rsid w:val="536E11E4"/>
    <w:rsid w:val="53A13367"/>
    <w:rsid w:val="53B222F9"/>
    <w:rsid w:val="53CB2ED2"/>
    <w:rsid w:val="53D97C99"/>
    <w:rsid w:val="53DF552A"/>
    <w:rsid w:val="5417013E"/>
    <w:rsid w:val="5435497A"/>
    <w:rsid w:val="54492049"/>
    <w:rsid w:val="546F2C29"/>
    <w:rsid w:val="54B01375"/>
    <w:rsid w:val="54BEACFB"/>
    <w:rsid w:val="54ED6937"/>
    <w:rsid w:val="54FE4BE1"/>
    <w:rsid w:val="550565D4"/>
    <w:rsid w:val="55115317"/>
    <w:rsid w:val="553964A2"/>
    <w:rsid w:val="555250C2"/>
    <w:rsid w:val="555718A0"/>
    <w:rsid w:val="555E00A0"/>
    <w:rsid w:val="558346D3"/>
    <w:rsid w:val="559317C9"/>
    <w:rsid w:val="55AB3BAD"/>
    <w:rsid w:val="55D7B4A1"/>
    <w:rsid w:val="55D8633C"/>
    <w:rsid w:val="55E40DAC"/>
    <w:rsid w:val="55F253AA"/>
    <w:rsid w:val="55F63222"/>
    <w:rsid w:val="55F84CE8"/>
    <w:rsid w:val="56384F6E"/>
    <w:rsid w:val="563A2710"/>
    <w:rsid w:val="564E4841"/>
    <w:rsid w:val="56AF0889"/>
    <w:rsid w:val="56BA1E1F"/>
    <w:rsid w:val="56DA179D"/>
    <w:rsid w:val="56F51D94"/>
    <w:rsid w:val="57014E5D"/>
    <w:rsid w:val="570B1D0C"/>
    <w:rsid w:val="57542D95"/>
    <w:rsid w:val="575541D7"/>
    <w:rsid w:val="57883D23"/>
    <w:rsid w:val="5799F0CD"/>
    <w:rsid w:val="579F3F38"/>
    <w:rsid w:val="57F22D43"/>
    <w:rsid w:val="57F74724"/>
    <w:rsid w:val="588418A2"/>
    <w:rsid w:val="588E6508"/>
    <w:rsid w:val="58E42D1D"/>
    <w:rsid w:val="59114DD8"/>
    <w:rsid w:val="592A069B"/>
    <w:rsid w:val="594421BB"/>
    <w:rsid w:val="594524EF"/>
    <w:rsid w:val="594F1D54"/>
    <w:rsid w:val="59527BF2"/>
    <w:rsid w:val="595B49E7"/>
    <w:rsid w:val="595C5227"/>
    <w:rsid w:val="5963617B"/>
    <w:rsid w:val="597D4C6F"/>
    <w:rsid w:val="59B42737"/>
    <w:rsid w:val="59E4254F"/>
    <w:rsid w:val="59F21C00"/>
    <w:rsid w:val="59FDFEF2"/>
    <w:rsid w:val="5A451531"/>
    <w:rsid w:val="5A555BBE"/>
    <w:rsid w:val="5A5A0BD4"/>
    <w:rsid w:val="5A685873"/>
    <w:rsid w:val="5A697C7E"/>
    <w:rsid w:val="5A7725B2"/>
    <w:rsid w:val="5A776550"/>
    <w:rsid w:val="5A79031F"/>
    <w:rsid w:val="5A7E085F"/>
    <w:rsid w:val="5AA862C2"/>
    <w:rsid w:val="5AE10BA2"/>
    <w:rsid w:val="5B192DE9"/>
    <w:rsid w:val="5B27113D"/>
    <w:rsid w:val="5B579E81"/>
    <w:rsid w:val="5B5D7E1A"/>
    <w:rsid w:val="5B922491"/>
    <w:rsid w:val="5BBAF074"/>
    <w:rsid w:val="5BC12FED"/>
    <w:rsid w:val="5BD67B62"/>
    <w:rsid w:val="5BDB844D"/>
    <w:rsid w:val="5BED4BFC"/>
    <w:rsid w:val="5BF25889"/>
    <w:rsid w:val="5BFD30FD"/>
    <w:rsid w:val="5BFFEE43"/>
    <w:rsid w:val="5C0870DF"/>
    <w:rsid w:val="5C1EF3AF"/>
    <w:rsid w:val="5C252EE1"/>
    <w:rsid w:val="5C793EFB"/>
    <w:rsid w:val="5CED210B"/>
    <w:rsid w:val="5CF527A3"/>
    <w:rsid w:val="5CF9A4EF"/>
    <w:rsid w:val="5D1A7137"/>
    <w:rsid w:val="5D4F4CD8"/>
    <w:rsid w:val="5D5977A1"/>
    <w:rsid w:val="5D6F0D72"/>
    <w:rsid w:val="5D7F697E"/>
    <w:rsid w:val="5DE86A07"/>
    <w:rsid w:val="5E04700C"/>
    <w:rsid w:val="5E0648A7"/>
    <w:rsid w:val="5E09107B"/>
    <w:rsid w:val="5E0D0017"/>
    <w:rsid w:val="5E1F0D94"/>
    <w:rsid w:val="5E394EDC"/>
    <w:rsid w:val="5E453881"/>
    <w:rsid w:val="5E505345"/>
    <w:rsid w:val="5E663E7B"/>
    <w:rsid w:val="5E6A5D46"/>
    <w:rsid w:val="5E7F2E0C"/>
    <w:rsid w:val="5E852A2B"/>
    <w:rsid w:val="5E8E131D"/>
    <w:rsid w:val="5E987B1D"/>
    <w:rsid w:val="5EAB603E"/>
    <w:rsid w:val="5EB010E6"/>
    <w:rsid w:val="5EBEF5C8"/>
    <w:rsid w:val="5ECF10BB"/>
    <w:rsid w:val="5ECF1B47"/>
    <w:rsid w:val="5EDF286E"/>
    <w:rsid w:val="5F0E45BB"/>
    <w:rsid w:val="5F15112E"/>
    <w:rsid w:val="5F271A1F"/>
    <w:rsid w:val="5F3C2ED6"/>
    <w:rsid w:val="5F42EA54"/>
    <w:rsid w:val="5F4E479B"/>
    <w:rsid w:val="5F697EE8"/>
    <w:rsid w:val="5F7FCE7D"/>
    <w:rsid w:val="5F7FEE71"/>
    <w:rsid w:val="5F9F9504"/>
    <w:rsid w:val="5FAA5CF4"/>
    <w:rsid w:val="5FBBDFFB"/>
    <w:rsid w:val="5FDC329F"/>
    <w:rsid w:val="5FE01AB3"/>
    <w:rsid w:val="5FEA90A8"/>
    <w:rsid w:val="5FF432C2"/>
    <w:rsid w:val="5FF7CE4D"/>
    <w:rsid w:val="5FFB3B6D"/>
    <w:rsid w:val="5FFCB8C1"/>
    <w:rsid w:val="5FFD53A6"/>
    <w:rsid w:val="5FFE6C12"/>
    <w:rsid w:val="5FFEED4F"/>
    <w:rsid w:val="5FFF1780"/>
    <w:rsid w:val="600B6B75"/>
    <w:rsid w:val="60132DE4"/>
    <w:rsid w:val="60326D30"/>
    <w:rsid w:val="603F267B"/>
    <w:rsid w:val="604B7099"/>
    <w:rsid w:val="606B6E69"/>
    <w:rsid w:val="60980E01"/>
    <w:rsid w:val="60AA0313"/>
    <w:rsid w:val="60C9490B"/>
    <w:rsid w:val="60D42D7C"/>
    <w:rsid w:val="60D80EDF"/>
    <w:rsid w:val="60DB1C4C"/>
    <w:rsid w:val="61573869"/>
    <w:rsid w:val="61596A8D"/>
    <w:rsid w:val="616563B2"/>
    <w:rsid w:val="616B3B9D"/>
    <w:rsid w:val="61973664"/>
    <w:rsid w:val="61A62889"/>
    <w:rsid w:val="61B6665A"/>
    <w:rsid w:val="61C55405"/>
    <w:rsid w:val="61C64A0E"/>
    <w:rsid w:val="61D92445"/>
    <w:rsid w:val="61E54345"/>
    <w:rsid w:val="61F34F7E"/>
    <w:rsid w:val="61F950AE"/>
    <w:rsid w:val="62140502"/>
    <w:rsid w:val="62172BB5"/>
    <w:rsid w:val="62233ED9"/>
    <w:rsid w:val="622A5268"/>
    <w:rsid w:val="623720B9"/>
    <w:rsid w:val="62814FD2"/>
    <w:rsid w:val="62875486"/>
    <w:rsid w:val="628A0DC3"/>
    <w:rsid w:val="62A465C7"/>
    <w:rsid w:val="62D1082D"/>
    <w:rsid w:val="62D64101"/>
    <w:rsid w:val="62DC3E7F"/>
    <w:rsid w:val="62DC55C0"/>
    <w:rsid w:val="62F84AC4"/>
    <w:rsid w:val="62FC72F4"/>
    <w:rsid w:val="630670EC"/>
    <w:rsid w:val="63136B1F"/>
    <w:rsid w:val="631B25A8"/>
    <w:rsid w:val="632F69CC"/>
    <w:rsid w:val="63336829"/>
    <w:rsid w:val="635D7461"/>
    <w:rsid w:val="636F40F1"/>
    <w:rsid w:val="63795CCD"/>
    <w:rsid w:val="63841B73"/>
    <w:rsid w:val="639F1C49"/>
    <w:rsid w:val="63C30398"/>
    <w:rsid w:val="63D757F1"/>
    <w:rsid w:val="63DD1C69"/>
    <w:rsid w:val="641036CB"/>
    <w:rsid w:val="642D5F69"/>
    <w:rsid w:val="643E259B"/>
    <w:rsid w:val="6461518D"/>
    <w:rsid w:val="6486408C"/>
    <w:rsid w:val="64AA7A10"/>
    <w:rsid w:val="64DD2FE4"/>
    <w:rsid w:val="64DE18E8"/>
    <w:rsid w:val="64F41105"/>
    <w:rsid w:val="64F658D5"/>
    <w:rsid w:val="64F94D48"/>
    <w:rsid w:val="65180AF8"/>
    <w:rsid w:val="65500499"/>
    <w:rsid w:val="65782624"/>
    <w:rsid w:val="65BF0E82"/>
    <w:rsid w:val="65C05087"/>
    <w:rsid w:val="65C47781"/>
    <w:rsid w:val="65CC4D1D"/>
    <w:rsid w:val="65D4527D"/>
    <w:rsid w:val="65E518E4"/>
    <w:rsid w:val="65E79EF2"/>
    <w:rsid w:val="662E5667"/>
    <w:rsid w:val="663E0BF4"/>
    <w:rsid w:val="664E3EC5"/>
    <w:rsid w:val="66B14AAB"/>
    <w:rsid w:val="66BB3C93"/>
    <w:rsid w:val="66BD65F1"/>
    <w:rsid w:val="66D47E98"/>
    <w:rsid w:val="66D57819"/>
    <w:rsid w:val="66DD4F9F"/>
    <w:rsid w:val="66F24016"/>
    <w:rsid w:val="67140294"/>
    <w:rsid w:val="67220C03"/>
    <w:rsid w:val="67263872"/>
    <w:rsid w:val="67422B02"/>
    <w:rsid w:val="67567BE5"/>
    <w:rsid w:val="675E7762"/>
    <w:rsid w:val="678E479A"/>
    <w:rsid w:val="67B24694"/>
    <w:rsid w:val="67BC609B"/>
    <w:rsid w:val="67C95523"/>
    <w:rsid w:val="67F6F19D"/>
    <w:rsid w:val="67FC3283"/>
    <w:rsid w:val="67FD652A"/>
    <w:rsid w:val="67FFEC90"/>
    <w:rsid w:val="68112ADA"/>
    <w:rsid w:val="68616285"/>
    <w:rsid w:val="68812DA4"/>
    <w:rsid w:val="68914293"/>
    <w:rsid w:val="689E4967"/>
    <w:rsid w:val="68AD0CCF"/>
    <w:rsid w:val="68CDF215"/>
    <w:rsid w:val="68D86FEB"/>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3008E0"/>
    <w:rsid w:val="6A4021D8"/>
    <w:rsid w:val="6A4B4537"/>
    <w:rsid w:val="6A5C2394"/>
    <w:rsid w:val="6A5F2753"/>
    <w:rsid w:val="6ABA24C6"/>
    <w:rsid w:val="6AE24654"/>
    <w:rsid w:val="6AFA607C"/>
    <w:rsid w:val="6B2F0F2B"/>
    <w:rsid w:val="6B347553"/>
    <w:rsid w:val="6B6A02C3"/>
    <w:rsid w:val="6B7068D7"/>
    <w:rsid w:val="6B77103C"/>
    <w:rsid w:val="6B7E6B96"/>
    <w:rsid w:val="6B843095"/>
    <w:rsid w:val="6B8FA36D"/>
    <w:rsid w:val="6BBE919F"/>
    <w:rsid w:val="6BE85984"/>
    <w:rsid w:val="6BEC17E0"/>
    <w:rsid w:val="6BFA7971"/>
    <w:rsid w:val="6C032026"/>
    <w:rsid w:val="6C037118"/>
    <w:rsid w:val="6C7563DF"/>
    <w:rsid w:val="6C793548"/>
    <w:rsid w:val="6CA1DA52"/>
    <w:rsid w:val="6D1A54F0"/>
    <w:rsid w:val="6D1F7E3A"/>
    <w:rsid w:val="6D374F86"/>
    <w:rsid w:val="6D8053C3"/>
    <w:rsid w:val="6D8F45DB"/>
    <w:rsid w:val="6DA265FA"/>
    <w:rsid w:val="6DB34CEB"/>
    <w:rsid w:val="6DB81974"/>
    <w:rsid w:val="6DBDBABD"/>
    <w:rsid w:val="6DD733CE"/>
    <w:rsid w:val="6DDFCBBA"/>
    <w:rsid w:val="6DE30DE0"/>
    <w:rsid w:val="6DE77FDB"/>
    <w:rsid w:val="6DE9321C"/>
    <w:rsid w:val="6DEF0D1B"/>
    <w:rsid w:val="6DFBF63B"/>
    <w:rsid w:val="6DFE5138"/>
    <w:rsid w:val="6E0650EF"/>
    <w:rsid w:val="6E0C43BB"/>
    <w:rsid w:val="6E1732CA"/>
    <w:rsid w:val="6E3904DB"/>
    <w:rsid w:val="6E3A5F81"/>
    <w:rsid w:val="6E4C47B8"/>
    <w:rsid w:val="6E564512"/>
    <w:rsid w:val="6E6A4988"/>
    <w:rsid w:val="6E9F9ADB"/>
    <w:rsid w:val="6EA14B04"/>
    <w:rsid w:val="6EAD14EE"/>
    <w:rsid w:val="6EBF36B1"/>
    <w:rsid w:val="6EBF51DC"/>
    <w:rsid w:val="6EC35CE7"/>
    <w:rsid w:val="6EE8132F"/>
    <w:rsid w:val="6EF3EF09"/>
    <w:rsid w:val="6F3A4CB1"/>
    <w:rsid w:val="6F656188"/>
    <w:rsid w:val="6F78732B"/>
    <w:rsid w:val="6FD985FF"/>
    <w:rsid w:val="6FEEBE7B"/>
    <w:rsid w:val="6FF13E8D"/>
    <w:rsid w:val="6FF6057A"/>
    <w:rsid w:val="6FF60D7F"/>
    <w:rsid w:val="6FF9CD3E"/>
    <w:rsid w:val="6FFF1246"/>
    <w:rsid w:val="6FFF4E02"/>
    <w:rsid w:val="6FFF8B7D"/>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833BD0"/>
    <w:rsid w:val="719A0BB7"/>
    <w:rsid w:val="71A845E4"/>
    <w:rsid w:val="71BE95FE"/>
    <w:rsid w:val="71C33C4E"/>
    <w:rsid w:val="72005AE0"/>
    <w:rsid w:val="72124F97"/>
    <w:rsid w:val="72374A3F"/>
    <w:rsid w:val="72531906"/>
    <w:rsid w:val="726522EC"/>
    <w:rsid w:val="726619E2"/>
    <w:rsid w:val="729836BF"/>
    <w:rsid w:val="72C62384"/>
    <w:rsid w:val="72CA1653"/>
    <w:rsid w:val="72E755D2"/>
    <w:rsid w:val="72F671DC"/>
    <w:rsid w:val="731004AA"/>
    <w:rsid w:val="73173E2E"/>
    <w:rsid w:val="731755C9"/>
    <w:rsid w:val="731B1CFB"/>
    <w:rsid w:val="731D17F8"/>
    <w:rsid w:val="73261F61"/>
    <w:rsid w:val="733FAD19"/>
    <w:rsid w:val="73516CDB"/>
    <w:rsid w:val="735D0D8C"/>
    <w:rsid w:val="737E5EBB"/>
    <w:rsid w:val="738113A0"/>
    <w:rsid w:val="738549F4"/>
    <w:rsid w:val="73A143B8"/>
    <w:rsid w:val="73A46746"/>
    <w:rsid w:val="73B01E4B"/>
    <w:rsid w:val="73B02B11"/>
    <w:rsid w:val="73B30C45"/>
    <w:rsid w:val="73CB68E0"/>
    <w:rsid w:val="73CBD7D6"/>
    <w:rsid w:val="73DBA7CA"/>
    <w:rsid w:val="73DDB053"/>
    <w:rsid w:val="73E47231"/>
    <w:rsid w:val="74325266"/>
    <w:rsid w:val="74425A77"/>
    <w:rsid w:val="74557335"/>
    <w:rsid w:val="7461100D"/>
    <w:rsid w:val="74736397"/>
    <w:rsid w:val="74AD0101"/>
    <w:rsid w:val="74B53FE0"/>
    <w:rsid w:val="74C514BD"/>
    <w:rsid w:val="74D231A8"/>
    <w:rsid w:val="74DB0954"/>
    <w:rsid w:val="74E920C5"/>
    <w:rsid w:val="74F34607"/>
    <w:rsid w:val="750BF332"/>
    <w:rsid w:val="75722D56"/>
    <w:rsid w:val="757350D2"/>
    <w:rsid w:val="75825BCB"/>
    <w:rsid w:val="75E914E0"/>
    <w:rsid w:val="75FD1071"/>
    <w:rsid w:val="75FD8C3E"/>
    <w:rsid w:val="75FF4D97"/>
    <w:rsid w:val="760B1A49"/>
    <w:rsid w:val="7629B897"/>
    <w:rsid w:val="76495766"/>
    <w:rsid w:val="765406AD"/>
    <w:rsid w:val="766964A3"/>
    <w:rsid w:val="76A20C6A"/>
    <w:rsid w:val="76AE068B"/>
    <w:rsid w:val="76C010E3"/>
    <w:rsid w:val="76FF0475"/>
    <w:rsid w:val="77031578"/>
    <w:rsid w:val="77107706"/>
    <w:rsid w:val="77407E24"/>
    <w:rsid w:val="77477B66"/>
    <w:rsid w:val="77550B7C"/>
    <w:rsid w:val="775A6197"/>
    <w:rsid w:val="777789B3"/>
    <w:rsid w:val="77A646EE"/>
    <w:rsid w:val="77BAB806"/>
    <w:rsid w:val="77BDBAF2"/>
    <w:rsid w:val="77C81353"/>
    <w:rsid w:val="77DF1E38"/>
    <w:rsid w:val="77DF6393"/>
    <w:rsid w:val="77E45CCE"/>
    <w:rsid w:val="77EBE7E4"/>
    <w:rsid w:val="77EC519A"/>
    <w:rsid w:val="77EDF40F"/>
    <w:rsid w:val="77EF3313"/>
    <w:rsid w:val="77F04406"/>
    <w:rsid w:val="77FA66B5"/>
    <w:rsid w:val="77FE1662"/>
    <w:rsid w:val="78030C0D"/>
    <w:rsid w:val="780D320A"/>
    <w:rsid w:val="78153022"/>
    <w:rsid w:val="782642CC"/>
    <w:rsid w:val="782E09E2"/>
    <w:rsid w:val="787648A7"/>
    <w:rsid w:val="78877F1D"/>
    <w:rsid w:val="788F25FD"/>
    <w:rsid w:val="78AA0FB2"/>
    <w:rsid w:val="78B2790D"/>
    <w:rsid w:val="78CE5280"/>
    <w:rsid w:val="78D67AA0"/>
    <w:rsid w:val="78E977D3"/>
    <w:rsid w:val="78FAFA59"/>
    <w:rsid w:val="7912390B"/>
    <w:rsid w:val="79180D6A"/>
    <w:rsid w:val="79232399"/>
    <w:rsid w:val="792D7313"/>
    <w:rsid w:val="79385B87"/>
    <w:rsid w:val="79406591"/>
    <w:rsid w:val="79415644"/>
    <w:rsid w:val="794A3243"/>
    <w:rsid w:val="795D2FDA"/>
    <w:rsid w:val="797057FE"/>
    <w:rsid w:val="797AA848"/>
    <w:rsid w:val="79990BA0"/>
    <w:rsid w:val="79A04407"/>
    <w:rsid w:val="79B85C40"/>
    <w:rsid w:val="79D6C6E8"/>
    <w:rsid w:val="79DC6531"/>
    <w:rsid w:val="79DF3095"/>
    <w:rsid w:val="79FF8323"/>
    <w:rsid w:val="7A2912C6"/>
    <w:rsid w:val="7A391CBB"/>
    <w:rsid w:val="7A3921BD"/>
    <w:rsid w:val="7A4F3F08"/>
    <w:rsid w:val="7A5D7213"/>
    <w:rsid w:val="7A695F3F"/>
    <w:rsid w:val="7A6BB264"/>
    <w:rsid w:val="7A74D92C"/>
    <w:rsid w:val="7A773114"/>
    <w:rsid w:val="7A8B6F6D"/>
    <w:rsid w:val="7ADF73FA"/>
    <w:rsid w:val="7AF551EA"/>
    <w:rsid w:val="7B1A0118"/>
    <w:rsid w:val="7B510186"/>
    <w:rsid w:val="7B640A94"/>
    <w:rsid w:val="7B6A0FC6"/>
    <w:rsid w:val="7B7712BA"/>
    <w:rsid w:val="7B8D4BA2"/>
    <w:rsid w:val="7BBF7D2D"/>
    <w:rsid w:val="7BBFBDD9"/>
    <w:rsid w:val="7BDF0F0E"/>
    <w:rsid w:val="7BE73057"/>
    <w:rsid w:val="7BFFBA14"/>
    <w:rsid w:val="7BFFFDF0"/>
    <w:rsid w:val="7C042B76"/>
    <w:rsid w:val="7C63789C"/>
    <w:rsid w:val="7C961A20"/>
    <w:rsid w:val="7CC11C19"/>
    <w:rsid w:val="7CD03A2F"/>
    <w:rsid w:val="7CD673E6"/>
    <w:rsid w:val="7CF04396"/>
    <w:rsid w:val="7CF401B4"/>
    <w:rsid w:val="7CF86A7C"/>
    <w:rsid w:val="7CFE9A73"/>
    <w:rsid w:val="7CFF6711"/>
    <w:rsid w:val="7CFFBBF6"/>
    <w:rsid w:val="7D0B72D7"/>
    <w:rsid w:val="7D27D221"/>
    <w:rsid w:val="7D3924E1"/>
    <w:rsid w:val="7D3E395D"/>
    <w:rsid w:val="7D6B282B"/>
    <w:rsid w:val="7D72477A"/>
    <w:rsid w:val="7D913F95"/>
    <w:rsid w:val="7D9B55EE"/>
    <w:rsid w:val="7DAA5F1C"/>
    <w:rsid w:val="7DBF4391"/>
    <w:rsid w:val="7DDF1E58"/>
    <w:rsid w:val="7DDF6B79"/>
    <w:rsid w:val="7DDFD140"/>
    <w:rsid w:val="7DED7670"/>
    <w:rsid w:val="7DEF74B9"/>
    <w:rsid w:val="7DF63207"/>
    <w:rsid w:val="7DF8A239"/>
    <w:rsid w:val="7DFE55FF"/>
    <w:rsid w:val="7DFE65B0"/>
    <w:rsid w:val="7DFF71A5"/>
    <w:rsid w:val="7E052833"/>
    <w:rsid w:val="7E1664EC"/>
    <w:rsid w:val="7E1A21DD"/>
    <w:rsid w:val="7E3FD544"/>
    <w:rsid w:val="7E414658"/>
    <w:rsid w:val="7E50097B"/>
    <w:rsid w:val="7E5A696A"/>
    <w:rsid w:val="7E5F5996"/>
    <w:rsid w:val="7E684FE0"/>
    <w:rsid w:val="7E976E76"/>
    <w:rsid w:val="7E9B3C8F"/>
    <w:rsid w:val="7E9FF47D"/>
    <w:rsid w:val="7EA63C5A"/>
    <w:rsid w:val="7EA6506C"/>
    <w:rsid w:val="7EBF9F9E"/>
    <w:rsid w:val="7EC76812"/>
    <w:rsid w:val="7EE07FBC"/>
    <w:rsid w:val="7EF6BA1B"/>
    <w:rsid w:val="7EFCE2EF"/>
    <w:rsid w:val="7EFF7C28"/>
    <w:rsid w:val="7EFFB51D"/>
    <w:rsid w:val="7F3344D2"/>
    <w:rsid w:val="7F374BD2"/>
    <w:rsid w:val="7F3EF109"/>
    <w:rsid w:val="7F3FA9E6"/>
    <w:rsid w:val="7F412798"/>
    <w:rsid w:val="7F56C5CB"/>
    <w:rsid w:val="7F613DD0"/>
    <w:rsid w:val="7F642662"/>
    <w:rsid w:val="7F65EC78"/>
    <w:rsid w:val="7F6F2316"/>
    <w:rsid w:val="7F6FDE85"/>
    <w:rsid w:val="7F7BA113"/>
    <w:rsid w:val="7F7CD479"/>
    <w:rsid w:val="7F7FD183"/>
    <w:rsid w:val="7F8E7414"/>
    <w:rsid w:val="7F9FBAF7"/>
    <w:rsid w:val="7FAB0DC6"/>
    <w:rsid w:val="7FB33C48"/>
    <w:rsid w:val="7FC42C6F"/>
    <w:rsid w:val="7FC70D26"/>
    <w:rsid w:val="7FCD7385"/>
    <w:rsid w:val="7FCE0A7B"/>
    <w:rsid w:val="7FD10921"/>
    <w:rsid w:val="7FDFA58C"/>
    <w:rsid w:val="7FDFC67D"/>
    <w:rsid w:val="7FE26D6E"/>
    <w:rsid w:val="7FE9BE57"/>
    <w:rsid w:val="7FF3521E"/>
    <w:rsid w:val="7FF74440"/>
    <w:rsid w:val="7FF77983"/>
    <w:rsid w:val="7FFA3EF9"/>
    <w:rsid w:val="7FFAEA40"/>
    <w:rsid w:val="7FFDB997"/>
    <w:rsid w:val="7FFDBA6F"/>
    <w:rsid w:val="7FFF1FF6"/>
    <w:rsid w:val="7FFF78DC"/>
    <w:rsid w:val="7FFF7DC9"/>
    <w:rsid w:val="8F3F1F3D"/>
    <w:rsid w:val="99DF7708"/>
    <w:rsid w:val="9AF95D50"/>
    <w:rsid w:val="9CBFEA14"/>
    <w:rsid w:val="9D72D5BA"/>
    <w:rsid w:val="9DEF280E"/>
    <w:rsid w:val="9DFEEF3A"/>
    <w:rsid w:val="9E6B7339"/>
    <w:rsid w:val="9EFFE6E8"/>
    <w:rsid w:val="9FFF52DD"/>
    <w:rsid w:val="A1F34BD9"/>
    <w:rsid w:val="A3BEC521"/>
    <w:rsid w:val="A473835B"/>
    <w:rsid w:val="A6FC09BA"/>
    <w:rsid w:val="AAFC54E8"/>
    <w:rsid w:val="ACFFC1AE"/>
    <w:rsid w:val="AEF76386"/>
    <w:rsid w:val="AEFF1721"/>
    <w:rsid w:val="AF6FD3DE"/>
    <w:rsid w:val="AF7F57D0"/>
    <w:rsid w:val="AFBDBDD7"/>
    <w:rsid w:val="AFDE11E1"/>
    <w:rsid w:val="AFFA4E97"/>
    <w:rsid w:val="AFFEFBE6"/>
    <w:rsid w:val="AFFFDCA8"/>
    <w:rsid w:val="B0BC83CE"/>
    <w:rsid w:val="B3B959F4"/>
    <w:rsid w:val="B5D796BD"/>
    <w:rsid w:val="B5FF93D4"/>
    <w:rsid w:val="B7278174"/>
    <w:rsid w:val="B76F7F9D"/>
    <w:rsid w:val="B7DF6920"/>
    <w:rsid w:val="BA7B23C6"/>
    <w:rsid w:val="BB7E507B"/>
    <w:rsid w:val="BBBD0F18"/>
    <w:rsid w:val="BBBD5052"/>
    <w:rsid w:val="BBCE6A08"/>
    <w:rsid w:val="BBEBA678"/>
    <w:rsid w:val="BD159B47"/>
    <w:rsid w:val="BD5F9C39"/>
    <w:rsid w:val="BD9E6A5B"/>
    <w:rsid w:val="BDBF3C4C"/>
    <w:rsid w:val="BDDF1D90"/>
    <w:rsid w:val="BDFF569A"/>
    <w:rsid w:val="BDFF7D51"/>
    <w:rsid w:val="BE332371"/>
    <w:rsid w:val="BE5B2936"/>
    <w:rsid w:val="BEEF4F54"/>
    <w:rsid w:val="BEFA91F8"/>
    <w:rsid w:val="BF5E30CB"/>
    <w:rsid w:val="BFAD0A5B"/>
    <w:rsid w:val="BFBFF975"/>
    <w:rsid w:val="BFDF4577"/>
    <w:rsid w:val="BFE0A2C8"/>
    <w:rsid w:val="BFF1AB59"/>
    <w:rsid w:val="BFFF23D7"/>
    <w:rsid w:val="C3B70622"/>
    <w:rsid w:val="C4B7CC1C"/>
    <w:rsid w:val="C52D4053"/>
    <w:rsid w:val="C557193B"/>
    <w:rsid w:val="C6FF6AF0"/>
    <w:rsid w:val="C7E75DCE"/>
    <w:rsid w:val="CBD3D240"/>
    <w:rsid w:val="CBDFDB75"/>
    <w:rsid w:val="CBEF6020"/>
    <w:rsid w:val="CD1ED750"/>
    <w:rsid w:val="CFFADD31"/>
    <w:rsid w:val="D13EFE29"/>
    <w:rsid w:val="D176162E"/>
    <w:rsid w:val="D27BA209"/>
    <w:rsid w:val="D2FBD6E4"/>
    <w:rsid w:val="D47FAF2C"/>
    <w:rsid w:val="D6A7B808"/>
    <w:rsid w:val="D6DFF190"/>
    <w:rsid w:val="D7CFD767"/>
    <w:rsid w:val="D7FC25F6"/>
    <w:rsid w:val="D96F6EA3"/>
    <w:rsid w:val="DB7F0A3B"/>
    <w:rsid w:val="DBD754C0"/>
    <w:rsid w:val="DBEFC53B"/>
    <w:rsid w:val="DBFC3819"/>
    <w:rsid w:val="DBFF13D9"/>
    <w:rsid w:val="DD87AC26"/>
    <w:rsid w:val="DDD7C64C"/>
    <w:rsid w:val="DDF9E743"/>
    <w:rsid w:val="DE776E97"/>
    <w:rsid w:val="DECF2995"/>
    <w:rsid w:val="DF3E572B"/>
    <w:rsid w:val="DF7EFC34"/>
    <w:rsid w:val="DF9F823D"/>
    <w:rsid w:val="DFBE840B"/>
    <w:rsid w:val="DFDB1FE6"/>
    <w:rsid w:val="DFF31655"/>
    <w:rsid w:val="DFF33E34"/>
    <w:rsid w:val="DFFE22AA"/>
    <w:rsid w:val="DFFF2A30"/>
    <w:rsid w:val="DFFF84C9"/>
    <w:rsid w:val="E3933C23"/>
    <w:rsid w:val="E4FEAD11"/>
    <w:rsid w:val="E5FE16B2"/>
    <w:rsid w:val="E6A99FDA"/>
    <w:rsid w:val="E6D79DB9"/>
    <w:rsid w:val="E6FB339E"/>
    <w:rsid w:val="E7BFA7C5"/>
    <w:rsid w:val="E7FE450A"/>
    <w:rsid w:val="E8BB4510"/>
    <w:rsid w:val="E96B3B4D"/>
    <w:rsid w:val="EA8F4B62"/>
    <w:rsid w:val="EAEFF623"/>
    <w:rsid w:val="EAFB4255"/>
    <w:rsid w:val="EB3CE8B4"/>
    <w:rsid w:val="EC7B6969"/>
    <w:rsid w:val="ED8B1048"/>
    <w:rsid w:val="EDBCA700"/>
    <w:rsid w:val="EDCF953F"/>
    <w:rsid w:val="EDEDCE19"/>
    <w:rsid w:val="EE4F8CA7"/>
    <w:rsid w:val="EEA5AFD2"/>
    <w:rsid w:val="EEBD427A"/>
    <w:rsid w:val="EEEEBC80"/>
    <w:rsid w:val="EF1E49F5"/>
    <w:rsid w:val="EF7370BD"/>
    <w:rsid w:val="EF7DB1B0"/>
    <w:rsid w:val="EF7F9619"/>
    <w:rsid w:val="EFF1C90F"/>
    <w:rsid w:val="EFF726FE"/>
    <w:rsid w:val="EFF7C5D5"/>
    <w:rsid w:val="EFFB5498"/>
    <w:rsid w:val="EFFF0F2E"/>
    <w:rsid w:val="F1771572"/>
    <w:rsid w:val="F22F0E4B"/>
    <w:rsid w:val="F29ED2C8"/>
    <w:rsid w:val="F2F0090F"/>
    <w:rsid w:val="F2F5EB34"/>
    <w:rsid w:val="F3BFD672"/>
    <w:rsid w:val="F3FBC58F"/>
    <w:rsid w:val="F49D257D"/>
    <w:rsid w:val="F4FF4D52"/>
    <w:rsid w:val="F5EF4CE2"/>
    <w:rsid w:val="F5F76D0E"/>
    <w:rsid w:val="F6F1A6B9"/>
    <w:rsid w:val="F6FE73CB"/>
    <w:rsid w:val="F732AC09"/>
    <w:rsid w:val="F7396B9E"/>
    <w:rsid w:val="F779A7F1"/>
    <w:rsid w:val="F7A34AFD"/>
    <w:rsid w:val="F7BEA3A8"/>
    <w:rsid w:val="F7D59AC5"/>
    <w:rsid w:val="F7DE316A"/>
    <w:rsid w:val="F7DF7768"/>
    <w:rsid w:val="F7DFAB18"/>
    <w:rsid w:val="F7DFD6F7"/>
    <w:rsid w:val="F7E7E79E"/>
    <w:rsid w:val="F7FEC24A"/>
    <w:rsid w:val="F7FEFFFB"/>
    <w:rsid w:val="F83F357C"/>
    <w:rsid w:val="F96B792C"/>
    <w:rsid w:val="F96FD6A8"/>
    <w:rsid w:val="F9C729BB"/>
    <w:rsid w:val="F9FEC6B5"/>
    <w:rsid w:val="FA1FE0CE"/>
    <w:rsid w:val="FA7DCAB7"/>
    <w:rsid w:val="FAE763BF"/>
    <w:rsid w:val="FB3B684F"/>
    <w:rsid w:val="FB3ED808"/>
    <w:rsid w:val="FB737563"/>
    <w:rsid w:val="FB9E9514"/>
    <w:rsid w:val="FBAF00D6"/>
    <w:rsid w:val="FBDBA6F9"/>
    <w:rsid w:val="FBDFA387"/>
    <w:rsid w:val="FBE71C25"/>
    <w:rsid w:val="FBFC0C31"/>
    <w:rsid w:val="FBFF19A4"/>
    <w:rsid w:val="FBFF4C7F"/>
    <w:rsid w:val="FCE36C2F"/>
    <w:rsid w:val="FD175450"/>
    <w:rsid w:val="FD4F8490"/>
    <w:rsid w:val="FD7C472A"/>
    <w:rsid w:val="FD7D42ED"/>
    <w:rsid w:val="FD96F1F9"/>
    <w:rsid w:val="FDCC5D92"/>
    <w:rsid w:val="FDDB0E04"/>
    <w:rsid w:val="FDF1C64A"/>
    <w:rsid w:val="FDF3B2B3"/>
    <w:rsid w:val="FDF7E316"/>
    <w:rsid w:val="FDF9C39F"/>
    <w:rsid w:val="FDFB05C8"/>
    <w:rsid w:val="FDFE1223"/>
    <w:rsid w:val="FDFEF644"/>
    <w:rsid w:val="FDFF3529"/>
    <w:rsid w:val="FE6FD691"/>
    <w:rsid w:val="FE9EB501"/>
    <w:rsid w:val="FEA350BD"/>
    <w:rsid w:val="FEAF0EC4"/>
    <w:rsid w:val="FEEE8048"/>
    <w:rsid w:val="FEFAC1F4"/>
    <w:rsid w:val="FF3B3EAC"/>
    <w:rsid w:val="FF4917E2"/>
    <w:rsid w:val="FF5A93C2"/>
    <w:rsid w:val="FF5EDB19"/>
    <w:rsid w:val="FF6E178B"/>
    <w:rsid w:val="FF6ED252"/>
    <w:rsid w:val="FF751C20"/>
    <w:rsid w:val="FF7F866E"/>
    <w:rsid w:val="FF7F89A8"/>
    <w:rsid w:val="FF7FC72D"/>
    <w:rsid w:val="FF7FDC6C"/>
    <w:rsid w:val="FF911BAB"/>
    <w:rsid w:val="FFAE883F"/>
    <w:rsid w:val="FFAF0F00"/>
    <w:rsid w:val="FFBF1F67"/>
    <w:rsid w:val="FFBF45F0"/>
    <w:rsid w:val="FFBFC5E6"/>
    <w:rsid w:val="FFCEA1F3"/>
    <w:rsid w:val="FFCF8511"/>
    <w:rsid w:val="FFDE10B8"/>
    <w:rsid w:val="FFE7004C"/>
    <w:rsid w:val="FFEB7359"/>
    <w:rsid w:val="FFEFA9EF"/>
    <w:rsid w:val="FFF25BE8"/>
    <w:rsid w:val="FFFA9034"/>
    <w:rsid w:val="FFFD723B"/>
    <w:rsid w:val="FFFF218B"/>
    <w:rsid w:val="FFFF382F"/>
    <w:rsid w:val="FFFF87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60"/>
      <w:ind w:left="72" w:leftChars="30" w:right="72" w:rightChars="30"/>
      <w:jc w:val="center"/>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99"/>
    <w:pPr>
      <w:spacing w:beforeAutospacing="1" w:afterAutospacing="1"/>
    </w:pPr>
    <w:rPr>
      <w:rFonts w:cs="Times New Roman"/>
    </w:rPr>
  </w:style>
  <w:style w:type="character" w:styleId="11">
    <w:name w:val="Strong"/>
    <w:basedOn w:val="10"/>
    <w:qFormat/>
    <w:uiPriority w:val="22"/>
    <w:rPr>
      <w:b/>
    </w:rPr>
  </w:style>
  <w:style w:type="character" w:styleId="12">
    <w:name w:val="page number"/>
    <w:basedOn w:val="10"/>
    <w:qFormat/>
    <w:uiPriority w:val="0"/>
  </w:style>
  <w:style w:type="character" w:styleId="13">
    <w:name w:val="Emphasis"/>
    <w:basedOn w:val="10"/>
    <w:qFormat/>
    <w:uiPriority w:val="20"/>
    <w:rPr>
      <w:i/>
    </w:rPr>
  </w:style>
  <w:style w:type="character" w:customStyle="1" w:styleId="14">
    <w:name w:val="js_darkmode__2"/>
    <w:basedOn w:val="10"/>
    <w:qFormat/>
    <w:uiPriority w:val="0"/>
  </w:style>
  <w:style w:type="character" w:customStyle="1" w:styleId="15">
    <w:name w:val="js_darkmode__3"/>
    <w:basedOn w:val="10"/>
    <w:qFormat/>
    <w:uiPriority w:val="0"/>
  </w:style>
  <w:style w:type="character" w:customStyle="1" w:styleId="16">
    <w:name w:val="js_darkmode__4"/>
    <w:basedOn w:val="10"/>
    <w:qFormat/>
    <w:uiPriority w:val="0"/>
  </w:style>
  <w:style w:type="character" w:customStyle="1" w:styleId="17">
    <w:name w:val="js_darkmode__5"/>
    <w:basedOn w:val="10"/>
    <w:qFormat/>
    <w:uiPriority w:val="0"/>
  </w:style>
  <w:style w:type="paragraph" w:styleId="18">
    <w:name w:val="List Paragraph"/>
    <w:basedOn w:val="1"/>
    <w:qFormat/>
    <w:uiPriority w:val="99"/>
    <w:pPr>
      <w:ind w:firstLine="420" w:firstLineChars="200"/>
    </w:pPr>
  </w:style>
  <w:style w:type="character" w:customStyle="1" w:styleId="19">
    <w:name w:val="批注框文本 字符"/>
    <w:basedOn w:val="10"/>
    <w:link w:val="5"/>
    <w:qFormat/>
    <w:uiPriority w:val="0"/>
    <w:rPr>
      <w:rFonts w:ascii="宋体" w:hAnsi="宋体" w:cs="宋体"/>
      <w:sz w:val="18"/>
      <w:szCs w:val="18"/>
    </w:rPr>
  </w:style>
  <w:style w:type="character" w:customStyle="1" w:styleId="20">
    <w:name w:val="apple-converted-space"/>
    <w:basedOn w:val="10"/>
    <w:qFormat/>
    <w:uiPriority w:val="0"/>
  </w:style>
  <w:style w:type="character" w:customStyle="1" w:styleId="21">
    <w:name w:val="notice_header_subtitle_date"/>
    <w:basedOn w:val="10"/>
    <w:qFormat/>
    <w:uiPriority w:val="0"/>
  </w:style>
  <w:style w:type="character" w:customStyle="1" w:styleId="22">
    <w:name w:val="notice_header_subtitle_author"/>
    <w:basedOn w:val="10"/>
    <w:qFormat/>
    <w:uiPriority w:val="0"/>
  </w:style>
  <w:style w:type="character" w:customStyle="1" w:styleId="23">
    <w:name w:val="js_darkmode__19"/>
    <w:basedOn w:val="10"/>
    <w:qFormat/>
    <w:uiPriority w:val="0"/>
  </w:style>
  <w:style w:type="character" w:customStyle="1" w:styleId="24">
    <w:name w:val="js_darkmode__27"/>
    <w:basedOn w:val="10"/>
    <w:qFormat/>
    <w:uiPriority w:val="0"/>
  </w:style>
  <w:style w:type="character" w:customStyle="1" w:styleId="25">
    <w:name w:val="js_darkmode__35"/>
    <w:basedOn w:val="10"/>
    <w:qFormat/>
    <w:uiPriority w:val="0"/>
  </w:style>
  <w:style w:type="paragraph" w:customStyle="1" w:styleId="26">
    <w:name w:val="修订1"/>
    <w:hidden/>
    <w:semiHidden/>
    <w:qFormat/>
    <w:uiPriority w:val="99"/>
    <w:rPr>
      <w:rFonts w:ascii="宋体" w:hAnsi="宋体" w:eastAsia="宋体" w:cs="宋体"/>
      <w:sz w:val="24"/>
      <w:szCs w:val="24"/>
      <w:lang w:val="en-US" w:eastAsia="zh-CN" w:bidi="ar-SA"/>
    </w:rPr>
  </w:style>
  <w:style w:type="character" w:customStyle="1" w:styleId="27">
    <w:name w:val="wx_tap_link"/>
    <w:basedOn w:val="10"/>
    <w:qFormat/>
    <w:uiPriority w:val="0"/>
  </w:style>
  <w:style w:type="character" w:customStyle="1" w:styleId="28">
    <w:name w:val="rich_media_meta"/>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4653</Words>
  <Characters>4875</Characters>
  <Lines>48</Lines>
  <Paragraphs>13</Paragraphs>
  <TotalTime>3</TotalTime>
  <ScaleCrop>false</ScaleCrop>
  <LinksUpToDate>false</LinksUpToDate>
  <CharactersWithSpaces>4901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2022-04-18T13:49:00Z</dcterms:created>
  <dc:creator>user</dc:creator>
  <cp:lastModifiedBy>user</cp:lastModifiedBy>
  <cp:lastPrinted>2022-04-28T03:24:00Z</cp:lastPrinted>
  <dcterms:modified xsi:type="dcterms:W3CDTF">2022-07-25T16:05:58Z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4CA995EE91934D91973D26D077BA6BB4</vt:lpwstr>
  </property>
</Properties>
</file>