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第3</w:t>
      </w:r>
      <w:r>
        <w:rPr>
          <w:rFonts w:hint="eastAsia"/>
          <w:b/>
          <w:sz w:val="32"/>
          <w:lang w:val="en-US" w:eastAsia="zh-CN"/>
        </w:rPr>
        <w:t>6</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19"/>
          <w:w w:val="94"/>
          <w:kern w:val="0"/>
          <w:sz w:val="28"/>
          <w:fitText w:val="5040" w:id="821768491"/>
        </w:rPr>
        <w:t>室</w:t>
      </w:r>
    </w:p>
    <w:p>
      <w:pPr>
        <w:widowControl w:val="0"/>
        <w:spacing w:line="360" w:lineRule="exact"/>
        <w:ind w:right="-101" w:rightChars="-42"/>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w:t>
      </w:r>
      <w:r>
        <w:rPr>
          <w:rFonts w:ascii="KaiTi_GB2312" w:eastAsia="KaiTi_GB2312"/>
          <w:spacing w:val="-14"/>
          <w:sz w:val="28"/>
          <w:u w:val="single" w:color="FF0000"/>
        </w:rPr>
        <w:t>1</w:t>
      </w:r>
      <w:r>
        <w:rPr>
          <w:rFonts w:hint="eastAsia" w:ascii="KaiTi_GB2312" w:eastAsia="KaiTi_GB2312"/>
          <w:spacing w:val="-14"/>
          <w:sz w:val="28"/>
          <w:u w:val="single" w:color="FF0000"/>
          <w:lang w:val="en-US" w:eastAsia="zh-CN"/>
        </w:rPr>
        <w:t>1</w:t>
      </w:r>
      <w:r>
        <w:rPr>
          <w:rFonts w:hint="eastAsia" w:ascii="KaiTi_GB2312" w:eastAsia="KaiTi_GB2312"/>
          <w:spacing w:val="-14"/>
          <w:sz w:val="28"/>
          <w:u w:val="single" w:color="FF0000"/>
        </w:rPr>
        <w:t>月</w:t>
      </w:r>
      <w:r>
        <w:rPr>
          <w:rFonts w:hint="eastAsia" w:ascii="KaiTi_GB2312" w:eastAsia="KaiTi_GB2312"/>
          <w:spacing w:val="-14"/>
          <w:sz w:val="28"/>
          <w:u w:val="single" w:color="FF0000"/>
          <w:lang w:val="en-US" w:eastAsia="zh-CN"/>
        </w:rPr>
        <w:t>12</w:t>
      </w:r>
      <w:r>
        <w:rPr>
          <w:rFonts w:hint="eastAsia" w:ascii="KaiTi_GB2312" w:eastAsia="KaiTi_GB2312"/>
          <w:spacing w:val="-14"/>
          <w:sz w:val="28"/>
          <w:u w:val="single" w:color="FF0000"/>
        </w:rPr>
        <w:t>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KaiTi_GB2312"/>
          <w:b/>
          <w:bCs/>
          <w:sz w:val="32"/>
          <w:szCs w:val="32"/>
        </w:rPr>
      </w:pPr>
      <w:r>
        <w:rPr>
          <w:rFonts w:hint="eastAsia" w:ascii="Times New Roman" w:hAnsi="Times New Roman" w:eastAsia="KaiTi_GB2312"/>
          <w:b/>
          <w:bCs/>
          <w:sz w:val="32"/>
          <w:szCs w:val="32"/>
        </w:rPr>
        <w:t>金融工作</w:t>
      </w: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海通证券参与发起并管理长三角G60科创走廊</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科技成果转化基金</w:t>
      </w:r>
      <w:bookmarkStart w:id="0" w:name="_GoBack"/>
      <w:bookmarkEnd w:id="0"/>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近日，长三角G60科创走廊科技成果转化基金成立，海通证券作为基金出资机构和基金管理人出席成立仪式。</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长三角G60科创走廊科技成果转化基金是在科学技术部指导下，由长三角G60科创走廊联席办牵头，G60九城政府和海通证券联合出资设立、国家科技成果转化引导基金将后续增资的科技成果转化专项基金，由海通证券旗下海富产业投资基金管理有限公司（以下简称“海富产业”）管理，目标规模100亿元，首期规模20亿元。</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G60科创走廊科技成果转化基金，是在我国一体化区域内积极探索建立“科技、金融和产业”良性互动关系的新模式；是采用市场化方式，加快把科技创新原动力转化为经济发展现实生产力，加强跨区域产业链、供应链协同的新尝试；也是海通证券进一步发挥多层次资本市场配置创新要素作用，服务长三角一体化和G60科创走廊建设的新平台。基金将重点投向长三角G60九城集成电路、生物医药、人工智能等七大战略性新兴产业的中早期项目，带动更多社会资本投入科技创新，助推更多科技成果向现实生产力转化。（海通证券）</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default" w:ascii="Times New Roman" w:hAnsi="Times New Roman" w:eastAsia="华文中宋" w:cs="宋体"/>
          <w:bCs/>
          <w:sz w:val="36"/>
          <w:szCs w:val="36"/>
          <w:lang w:val="en-US" w:eastAsia="zh-CN"/>
        </w:rPr>
      </w:pPr>
      <w:r>
        <w:rPr>
          <w:rFonts w:hint="default" w:ascii="Times New Roman" w:hAnsi="Times New Roman" w:eastAsia="华文中宋" w:cs="宋体"/>
          <w:bCs/>
          <w:sz w:val="36"/>
          <w:szCs w:val="36"/>
          <w:lang w:val="en-US" w:eastAsia="zh-CN"/>
        </w:rPr>
        <w:t>隧道股份摘得两项国家科技进步大奖</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default" w:ascii="Times New Roman" w:hAnsi="Times New Roman" w:eastAsia="华文中宋" w:cs="宋体"/>
          <w:bCs/>
          <w:sz w:val="36"/>
          <w:szCs w:val="36"/>
          <w:lang w:val="en-US" w:eastAsia="zh-CN"/>
        </w:rPr>
      </w:pPr>
      <w:r>
        <w:rPr>
          <w:rFonts w:hint="default" w:ascii="Times New Roman" w:hAnsi="Times New Roman" w:eastAsia="华文中宋" w:cs="宋体"/>
          <w:bCs/>
          <w:sz w:val="36"/>
          <w:szCs w:val="36"/>
          <w:lang w:val="en-US" w:eastAsia="zh-CN"/>
        </w:rPr>
        <w:t>超大盾构技术再刷行业发展新高度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2020年度国家科学技术奖在京揭晓。隧道股份凭借上海隧道主持完成的《超大直径盾构掘进新技术及应用》成果，及合作完成的《深水大断面盾构隧道结构/功能材料制备与工程应用成套技术》成果，一举摘得两项国家科学技术进步奖。</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突破超大隧道建设“世界瓶颈”。</w:t>
      </w:r>
      <w:r>
        <w:rPr>
          <w:rFonts w:hint="eastAsia" w:ascii="Times New Roman" w:hAnsi="Times New Roman" w:eastAsia="仿宋_GB2312" w:cs="仿宋_GB2312"/>
          <w:sz w:val="32"/>
          <w:szCs w:val="32"/>
          <w:shd w:val="clear" w:color="auto" w:fill="FFFFFF"/>
          <w:lang w:val="en-US" w:eastAsia="zh-CN"/>
        </w:rPr>
        <w:t>由隧道股份上海隧道牵头完成的《超大直径盾构掘进新技术及应用》，针对隧道复合地层掘进施工“三大国际性难题”，自主开发了“去泥饼”“控沉降”“防污染”三大掘进施工新技术，实现了超大隧道在饱和软土地层变形从厘米级到毫米级的跨越，在国际上首次完成了工程泥浆及渣土生态化利用。这一项目突破了在软硬不均复合地层大规模建设超大直径盾构隧道的技术瓶颈，为超大盾构领域“中国技术”走向世界打下基石。</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项目率先应用于国内首条14米级超大直径盾构隧道——上海上中路隧道，随后逐步推广至具有软硬不均复合地层特点的武汉、珠海、杭州、南京等地10条超大直径盾构法隧道工程，并在新加坡、印度等地的工程中采用了本技术。</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保障大型深水隧道施工运营安全。</w:t>
      </w:r>
      <w:r>
        <w:rPr>
          <w:rFonts w:hint="eastAsia" w:ascii="Times New Roman" w:hAnsi="Times New Roman" w:eastAsia="仿宋_GB2312" w:cs="仿宋_GB2312"/>
          <w:sz w:val="32"/>
          <w:szCs w:val="32"/>
          <w:shd w:val="clear" w:color="auto" w:fill="FFFFFF"/>
          <w:lang w:val="en-US" w:eastAsia="zh-CN"/>
        </w:rPr>
        <w:t>隧道股份上海隧道联合材料研究、建筑结构、工程设计等单位，推进《深水大断面盾构隧道结构/功能材料制备与工程应用成套技术》研发，共同研究形成了支撑保障隧道工程结构安全、施工安全、运营安全的三大关键材料及其制备与施工技术，为大型穿江越海隧道工程提供安全保障。</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这一技术提出了盾构隧道建造材料结构功能一体化设计与制备创新思路，首创深水大断面隧道的高抗渗、高耐久和结构安全关键材料；发明了盾构废弃泥砂原位资源化利用技术制备同步注浆关键材料，保证了施工安全；开发了阻燃抗滑降噪多功能沥青路面结构设计与铺装技术，保障了运营安全。目前，这一技术已形成具有完整自主知识产权的成套技术，技术成果在隧道股份上海隧道承担的武汉三阳路长江隧道等多条深水大断面隧道工程中得到了应用。（隧道股份）</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Times New Roman" w:hAnsi="Times New Roman" w:eastAsia="华文中宋" w:cs="宋体"/>
          <w:bCs/>
          <w:sz w:val="36"/>
          <w:szCs w:val="36"/>
          <w:lang w:val="en-US" w:eastAsia="zh-CN"/>
        </w:rPr>
      </w:pPr>
      <w:r>
        <w:rPr>
          <w:rFonts w:hint="default" w:ascii="Times New Roman" w:hAnsi="Times New Roman" w:eastAsia="华文中宋" w:cs="宋体"/>
          <w:bCs/>
          <w:sz w:val="36"/>
          <w:szCs w:val="36"/>
          <w:lang w:val="en-US" w:eastAsia="zh-CN"/>
        </w:rPr>
        <w:t>上海建科集团保护徽派古建 打造区域名片</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w:t>
      </w:r>
      <w:r>
        <w:rPr>
          <w:rFonts w:hint="default" w:ascii="Times New Roman" w:hAnsi="Times New Roman" w:eastAsia="仿宋_GB2312" w:cs="仿宋_GB2312"/>
          <w:sz w:val="32"/>
          <w:szCs w:val="32"/>
          <w:shd w:val="clear" w:color="auto" w:fill="FFFFFF"/>
          <w:lang w:val="en-US" w:eastAsia="zh-CN"/>
        </w:rPr>
        <w:t>，上海建科集团与黄山市住建局签订战略合作协议，为历史建筑保护修缮、长三角一体化高质量发展赋能。</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通过</w:t>
      </w:r>
      <w:r>
        <w:rPr>
          <w:rFonts w:hint="default" w:ascii="Times New Roman" w:hAnsi="Times New Roman" w:eastAsia="仿宋_GB2312" w:cs="仿宋_GB2312"/>
          <w:sz w:val="32"/>
          <w:szCs w:val="32"/>
          <w:shd w:val="clear" w:color="auto" w:fill="FFFFFF"/>
          <w:lang w:val="en-US" w:eastAsia="zh-CN"/>
        </w:rPr>
        <w:t>此次合作，双</w:t>
      </w:r>
      <w:r>
        <w:rPr>
          <w:rFonts w:hint="eastAsia" w:ascii="Times New Roman" w:hAnsi="Times New Roman" w:eastAsia="仿宋_GB2312" w:cs="仿宋_GB2312"/>
          <w:sz w:val="32"/>
          <w:szCs w:val="32"/>
          <w:shd w:val="clear" w:color="auto" w:fill="FFFFFF"/>
          <w:lang w:val="en-US" w:eastAsia="zh-CN"/>
        </w:rPr>
        <w:t>方将</w:t>
      </w:r>
      <w:r>
        <w:rPr>
          <w:rFonts w:hint="default" w:ascii="Times New Roman" w:hAnsi="Times New Roman" w:eastAsia="仿宋_GB2312" w:cs="仿宋_GB2312"/>
          <w:sz w:val="32"/>
          <w:szCs w:val="32"/>
          <w:shd w:val="clear" w:color="auto" w:fill="FFFFFF"/>
          <w:lang w:val="en-US" w:eastAsia="zh-CN"/>
        </w:rPr>
        <w:t>发挥各自优势和特色，拓宽合作领域，进一步推动徽派古建等领域的科学研究、学术交流，积极引导科技成果转化应用。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上海建科集团聚焦城市更新下文物建筑和历史建筑保护、产业建筑更新、老旧小区改造等文化和民生问题，提供勘察测绘、检测监测、结构鉴定、改造设计、加固施工和绿色节能性能提升等一站式解决方案。在文物建筑和历史建筑的保护修缮、寿命延长、安全保障、功能提升、智慧管理等方面进行了大量的技术创新研究和工程实践，为历史保护建筑和老旧建筑提供咨询、勘察、设计、检测、鉴定和施工等系统服务。</w:t>
      </w:r>
      <w:r>
        <w:rPr>
          <w:rFonts w:hint="eastAsia" w:ascii="Times New Roman" w:hAnsi="Times New Roman" w:eastAsia="仿宋_GB2312" w:cs="仿宋_GB2312"/>
          <w:sz w:val="32"/>
          <w:szCs w:val="32"/>
          <w:shd w:val="clear" w:color="auto" w:fill="FFFFFF"/>
          <w:lang w:val="en-US" w:eastAsia="zh-CN"/>
        </w:rPr>
        <w:t>（上海建科集团）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机场集团、上海建科集团主编的</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《四型机场绿色性能评价规范》正式发布</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近日，机场集团、上海建科集团联合主编的《四型机场绿色性能评价规范》发布。</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《四型机场绿色性能评价规范》（T/CCAATB 0019-2021）（下文简称《规范》）于2021年12月1日正式实施，</w:t>
      </w:r>
      <w:r>
        <w:rPr>
          <w:rFonts w:hint="eastAsia" w:ascii="Times New Roman" w:hAnsi="Times New Roman" w:eastAsia="仿宋_GB2312" w:cs="仿宋_GB2312"/>
          <w:sz w:val="32"/>
          <w:szCs w:val="32"/>
          <w:shd w:val="clear" w:color="auto" w:fill="FFFFFF"/>
          <w:lang w:val="en-US" w:eastAsia="zh-CN"/>
        </w:rPr>
        <w:t>将</w:t>
      </w:r>
      <w:r>
        <w:rPr>
          <w:rFonts w:hint="default" w:ascii="Times New Roman" w:hAnsi="Times New Roman" w:eastAsia="仿宋_GB2312" w:cs="仿宋_GB2312"/>
          <w:sz w:val="32"/>
          <w:szCs w:val="32"/>
          <w:shd w:val="clear" w:color="auto" w:fill="FFFFFF"/>
          <w:lang w:val="en-US" w:eastAsia="zh-CN"/>
        </w:rPr>
        <w:t>填补我国民航机场绿色建设与运营方面评价类标准</w:t>
      </w:r>
      <w:r>
        <w:rPr>
          <w:rFonts w:hint="eastAsia" w:ascii="Times New Roman" w:hAnsi="Times New Roman" w:eastAsia="仿宋_GB2312" w:cs="仿宋_GB2312"/>
          <w:sz w:val="32"/>
          <w:szCs w:val="32"/>
          <w:shd w:val="clear" w:color="auto" w:fill="FFFFFF"/>
          <w:lang w:val="en-US" w:eastAsia="zh-CN"/>
        </w:rPr>
        <w:t>的</w:t>
      </w:r>
      <w:r>
        <w:rPr>
          <w:rFonts w:hint="default" w:ascii="Times New Roman" w:hAnsi="Times New Roman" w:eastAsia="仿宋_GB2312" w:cs="仿宋_GB2312"/>
          <w:sz w:val="32"/>
          <w:szCs w:val="32"/>
          <w:shd w:val="clear" w:color="auto" w:fill="FFFFFF"/>
          <w:lang w:val="en-US" w:eastAsia="zh-CN"/>
        </w:rPr>
        <w:t>空白</w:t>
      </w:r>
      <w:r>
        <w:rPr>
          <w:rFonts w:hint="eastAsia" w:ascii="Times New Roman" w:hAnsi="Times New Roman" w:eastAsia="仿宋_GB2312" w:cs="仿宋_GB2312"/>
          <w:sz w:val="32"/>
          <w:szCs w:val="32"/>
          <w:shd w:val="clear" w:color="auto" w:fill="FFFFFF"/>
          <w:lang w:val="en-US" w:eastAsia="zh-CN"/>
        </w:rPr>
        <w:t>。</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规范》立足绿色发展理念，贯彻了国家“碳达峰与碳中和”的战略部署，响应了民航局《中国民航四型机场建设行动纲要》和《四型机场建设导则》的要求，从资源节约、健康舒适、低碳减排、环境友好和运行高效5个维度，提出绿色机场发展的定性和定量要求，是全过程、全方位指导绿色机场规划建设和运维管理的标准性文件，对全行业建设绿色低碳机场、实现可持续发展具有重要的现实指导意义。</w:t>
      </w:r>
      <w:r>
        <w:rPr>
          <w:rFonts w:hint="eastAsia" w:ascii="Times New Roman" w:hAnsi="Times New Roman" w:eastAsia="仿宋_GB2312" w:cs="仿宋_GB2312"/>
          <w:sz w:val="32"/>
          <w:szCs w:val="32"/>
          <w:shd w:val="clear" w:color="auto" w:fill="FFFFFF"/>
          <w:lang w:val="en-US" w:eastAsia="zh-CN"/>
        </w:rPr>
        <w:t>（机场集团、上海建科集团）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eastAsia" w:ascii="Times New Roman" w:hAnsi="Times New Roman" w:eastAsia="华文中宋" w:cs="宋体"/>
          <w:bCs/>
          <w:sz w:val="36"/>
          <w:szCs w:val="36"/>
          <w:lang w:val="en-US" w:eastAsia="zh-CN"/>
        </w:rPr>
      </w:pPr>
      <w:r>
        <w:rPr>
          <w:rFonts w:hint="default" w:ascii="Times New Roman" w:hAnsi="Times New Roman" w:eastAsia="华文中宋" w:cs="宋体"/>
          <w:bCs/>
          <w:sz w:val="36"/>
          <w:szCs w:val="36"/>
          <w:lang w:val="en-US" w:eastAsia="zh-CN"/>
        </w:rPr>
        <w:t>临港大物贸平台推动国际贸易加快集聚</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w:t>
      </w:r>
      <w:r>
        <w:rPr>
          <w:rFonts w:hint="default" w:ascii="Times New Roman" w:hAnsi="Times New Roman" w:eastAsia="仿宋_GB2312" w:cs="仿宋_GB2312"/>
          <w:sz w:val="32"/>
          <w:szCs w:val="32"/>
          <w:shd w:val="clear" w:color="auto" w:fill="FFFFFF"/>
          <w:lang w:val="en-US" w:eastAsia="zh-CN"/>
        </w:rPr>
        <w:t>，临港大物贸与佳沛中国在上海南港签署战略合作协议。</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此次签署战略合作协议，旨在共同推进佳沛冷链前置仓在洋山特殊综合保税区的建设，</w:t>
      </w:r>
      <w:r>
        <w:rPr>
          <w:rFonts w:hint="eastAsia" w:ascii="Times New Roman" w:hAnsi="Times New Roman" w:eastAsia="仿宋_GB2312" w:cs="仿宋_GB2312"/>
          <w:sz w:val="32"/>
          <w:szCs w:val="32"/>
          <w:shd w:val="clear" w:color="auto" w:fill="FFFFFF"/>
          <w:lang w:val="en-US" w:eastAsia="zh-CN"/>
        </w:rPr>
        <w:t>在</w:t>
      </w:r>
      <w:r>
        <w:rPr>
          <w:rFonts w:hint="default" w:ascii="Times New Roman" w:hAnsi="Times New Roman" w:eastAsia="仿宋_GB2312" w:cs="仿宋_GB2312"/>
          <w:sz w:val="32"/>
          <w:szCs w:val="32"/>
          <w:shd w:val="clear" w:color="auto" w:fill="FFFFFF"/>
          <w:lang w:val="en-US" w:eastAsia="zh-CN"/>
        </w:rPr>
        <w:t>上海南港打造佳沛产品在中国乃至亚太地区进口业务的物流枢纽中心之一，加快佳沛区域贸易总部落地临港新片区，推动国际贸易形态集聚，促进区域经济发展。</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临港大物贸作为临港集团统筹洋山特殊综合保税区（芦潮港区域）、上海南港、临港物流园区的开发平台，把创新发展作为园区发展和产业服务的核心驱动力，释放洋山特殊综合保税区“一线放开”制度红利，充分放大洋山特殊综保区南港1.16区域冷链产业集聚效应，加速区域向“物流+”“贸易+”“金融+”“服务+”转型，进一步推动新片区投资贸易便利化、海关智慧监管创新化，为新片区高水平开放、高质量发展作出新的贡献。</w:t>
      </w:r>
      <w:r>
        <w:rPr>
          <w:rFonts w:hint="eastAsia" w:ascii="Times New Roman" w:hAnsi="Times New Roman" w:eastAsia="仿宋_GB2312" w:cs="仿宋_GB2312"/>
          <w:sz w:val="32"/>
          <w:szCs w:val="32"/>
          <w:shd w:val="clear" w:color="auto" w:fill="FFFFFF"/>
          <w:lang w:val="en-US" w:eastAsia="zh-CN"/>
        </w:rPr>
        <w:t>（临港集团）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hint="eastAsia" w:ascii="Times New Roman" w:hAnsi="Times New Roman" w:eastAsia="KaiTi_GB2312" w:cs="宋体"/>
          <w:b/>
          <w:sz w:val="32"/>
          <w:szCs w:val="32"/>
          <w:lang w:val="zh-CN"/>
        </w:rPr>
      </w:pPr>
      <w:r>
        <w:rPr>
          <w:rFonts w:hint="eastAsia" w:ascii="Times New Roman" w:hAnsi="Times New Roman" w:eastAsia="KaiTi_GB2312" w:cs="宋体"/>
          <w:b/>
          <w:sz w:val="32"/>
          <w:szCs w:val="32"/>
          <w:lang w:val="zh-CN"/>
        </w:rPr>
        <w:t>直通进博会</w:t>
      </w: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上海农商银行推出“601825”服务方案助力进博会</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近日，上海农商银行推出《“601825”进博专项金融服务方案》，为</w:t>
      </w:r>
      <w:r>
        <w:rPr>
          <w:rFonts w:hint="eastAsia" w:ascii="Times New Roman" w:hAnsi="Times New Roman" w:eastAsia="仿宋_GB2312" w:cs="仿宋_GB2312"/>
          <w:sz w:val="32"/>
          <w:szCs w:val="32"/>
          <w:shd w:val="clear" w:color="auto" w:fill="FFFFFF"/>
          <w:lang w:val="en-US" w:eastAsia="zh-CN"/>
        </w:rPr>
        <w:t>进博会</w:t>
      </w:r>
      <w:r>
        <w:rPr>
          <w:rFonts w:hint="default" w:ascii="Times New Roman" w:hAnsi="Times New Roman" w:eastAsia="仿宋_GB2312" w:cs="仿宋_GB2312"/>
          <w:sz w:val="32"/>
          <w:szCs w:val="32"/>
          <w:shd w:val="clear" w:color="auto" w:fill="FFFFFF"/>
          <w:lang w:val="en-US" w:eastAsia="zh-CN"/>
        </w:rPr>
        <w:t>参展商和采购企业提供60天的尊享通道、1周的专属服务、优先支持8大类商品进口贸易融资授信额度、2类定制化产品、5大手续费优惠</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满足参展中外客户本外币、境内外、结算融资一体化金融需求。</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60天的尊享通道”是参展商和采购企业在进博会召开的60天内可免费获得上海农商银行提供的GPI全球汇款、IHS船情调查、跨境结算便利化、跨境结算投融资专享服务计划及涵盖公司金融、普惠金融、个人金融等综合金融服务在内的尊享通道服务。</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1周专属服务”是在为期一周的进博会期间，上海农商银行组建“进博会专项服务小组”，负责在进博会期间为参展客户提供专业的政策解读与金融咨询服务，并可结合企业经营状况及特点，设计专属创新金融和场景化组合方案，为参展企业深化贯穿整个价值链的综合金融服务。</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优先支持8大类食品及农产品展区商品，包括乳制品、蔬果和农产品、水果、肉类、水产品和冷冻食品、预包装食品、休闲食品、综合食品等进口贸易融资授信额度，针对不同行业、不同进出口额等因素可提供专项信用授信额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针对本届进博会上签订的订单，上海农商银行在汇款、信用证、托收、担保及贸易融资5大手续费上给予最大程度的优化，加快商品周转效率、减轻企业财务负担和汇率风险，为进博会结束后能进一步扩大进博效益做好准备。</w:t>
      </w:r>
      <w:r>
        <w:rPr>
          <w:rFonts w:hint="eastAsia" w:ascii="Times New Roman" w:hAnsi="Times New Roman" w:eastAsia="仿宋_GB2312" w:cs="仿宋_GB2312"/>
          <w:sz w:val="32"/>
          <w:szCs w:val="32"/>
          <w:shd w:val="clear" w:color="auto" w:fill="FFFFFF"/>
          <w:lang w:val="en-US" w:eastAsia="zh-CN"/>
        </w:rPr>
        <w:t>（上海农商银行）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上海银行线下线上齐发力 跨境便利助贸易</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上海银行结合自身特色，推出了双语版进博会专项跨境服务方案。通过“线下+线上”的跨境企业服务模式，聚焦进博会展商和客商的核心需求，依托金融科技和贸易金融业务的深度融合，全力提升跨境金融服务质效。</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线下设立绿色通道，提供一站式综合金融服务。</w:t>
      </w:r>
      <w:r>
        <w:rPr>
          <w:rFonts w:hint="eastAsia" w:ascii="Times New Roman" w:hAnsi="Times New Roman" w:eastAsia="仿宋_GB2312" w:cs="仿宋_GB2312"/>
          <w:sz w:val="32"/>
          <w:szCs w:val="32"/>
          <w:shd w:val="clear" w:color="auto" w:fill="FFFFFF"/>
          <w:lang w:val="en-US" w:eastAsia="zh-CN"/>
        </w:rPr>
        <w:t>线下渠道方面，上海银行已在全行外汇业务网点设立进博会绿色通道和绿色窗口，为参展观展的企业和个人提供贸易外汇及跨境人民币收支便利化、境外工作的境内个人薪酬结汇便利化和外籍人才薪酬购付汇便利化“三个便利”的专享服务。</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此外，借助股东桑坦德银行的多维度深入合作平台、沪港台两岸三地的战略合作平台，以及协同境外子公司打造的“商行+投行”特色平台，上海银行可为跨境企业提供注册、贸易对接、法律、财务咨询等一站式综合金融服务。</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线上打造六大模块，疏通企业跨境贸易淤塞点。</w:t>
      </w:r>
      <w:r>
        <w:rPr>
          <w:rFonts w:hint="eastAsia" w:ascii="Times New Roman" w:hAnsi="Times New Roman" w:eastAsia="仿宋_GB2312" w:cs="仿宋_GB2312"/>
          <w:sz w:val="32"/>
          <w:szCs w:val="32"/>
          <w:shd w:val="clear" w:color="auto" w:fill="FFFFFF"/>
          <w:lang w:val="en-US" w:eastAsia="zh-CN"/>
        </w:rPr>
        <w:t>上海银行持续升级“上银智汇＋”线上平台，深度融入进博会交易场景，重点打造集成付汇、收汇、结售汇、进口、出口、贸易融资六大线上模块，用金融科技的力量，打通跨境金融“淤塞点”。</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其中，闪电开证、挂单结汇、自助托收、回款一键确认等一批智能化产品的上线，有效提升了服务效率、扩大了服务半径、优化了客户体验。比如“闪电开证”，最快1个小时即可在线完成国际信用证开立，有助于企业快速锁定价格，缩短交易周期，降低市场风险，赢得国际合作；“挂单结汇”则可在线提供汇率走势分析，企业可结合市场趋势及自身的汇率避险偏好，设定目标交易价格，不再需要人工实时盯市，同时该产品采用智能价格保护策略，可避免客户的操作风险。（上海银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上海联交所成立上海国际品牌创新服务基地</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助推企业品牌建设</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w:t>
      </w:r>
      <w:r>
        <w:rPr>
          <w:rFonts w:hint="default" w:ascii="Times New Roman" w:hAnsi="Times New Roman" w:eastAsia="仿宋_GB2312" w:cs="仿宋_GB2312"/>
          <w:sz w:val="32"/>
          <w:szCs w:val="32"/>
          <w:shd w:val="clear" w:color="auto" w:fill="FFFFFF"/>
          <w:lang w:val="en-US" w:eastAsia="zh-CN"/>
        </w:rPr>
        <w:t>，在第四届进博会期间，由上海联交所主办的“2021世界并购大会∙文体旅资源配置会”举行。上海联交所联合各方发起成立了上海国际品牌创新服务基地，助推企业品牌建设，在打响上海“四大品牌”新三年行动计划和上海打造全球资产管理中心的过程中，发挥产权市场在品牌建设中的专业服务作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上海联交所将充分发挥文体旅资源交易中心的优势，不断加大品牌、科技、资本等资源要素配置力度，持续推动市场和社会多方主体加强战略合作与资源整合，进一步提升产权市场资源配置效率。</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未来，上海国际品牌创新服务基地将协调政府部门、研究机构、企业集团和专业投资人等国内外资源，以构建数字品牌资产交易平台为核心，将上海打造成为全球数字品牌资产的价值发现以及价值实现的高地，建设全球数字品牌资产数据库，形成先进性生产服务业产业集群，深入开展以交易为导向的新兴产业品牌以及老字号品牌的价值挖掘，彰显上海全球数字品牌资产资源配置能力，深度服务各类企业品牌建设。</w:t>
      </w:r>
      <w:r>
        <w:rPr>
          <w:rFonts w:hint="eastAsia" w:ascii="Times New Roman" w:hAnsi="Times New Roman" w:eastAsia="仿宋_GB2312" w:cs="仿宋_GB2312"/>
          <w:sz w:val="32"/>
          <w:szCs w:val="32"/>
          <w:shd w:val="clear" w:color="auto" w:fill="FFFFFF"/>
          <w:lang w:val="en-US" w:eastAsia="zh-CN"/>
        </w:rPr>
        <w:t>（上海联交所）</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光明食品集团打造进博“国际美食街”</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第四届进博会，光明食品集团</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The Smart Chain全球食品集成分销平台</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进一步扩大参展面积，进一步放大光明全球食品集成分销平台的溢出效应。</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光明食品集团的超大展台上，呈现了超过400种不同品类的高品质食品，包括肉类、酒类、水产、乳制品、粮油、休闲食品、蔬果等。展台上还将举行一系列活动，打造一条进博会内独一无二的“国际美食街”。除了进口食品商品外，农业进口科技和设备也成为了展台的亮点。其中，光明母港现代农业种业创新区将努力建设成“集商业化育种、资源保护利用、品种试验鉴定、成果展示交易和产品创意开发于一体的种业创新孵化区、集中原创研发区和种业人才集聚高地”，打造上海种业“张江高科”、华东国家级种业创新与成果交易汇聚地、国家现代农业产业园，辐射长三角，链接国内外。</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此外，“光明校园学生营养餐”作为今年重点项目崭露头角。该项目目前正在上海梅陇中学试点，</w:t>
      </w:r>
      <w:r>
        <w:rPr>
          <w:rFonts w:hint="eastAsia" w:ascii="Times New Roman" w:hAnsi="Times New Roman" w:eastAsia="仿宋_GB2312" w:cs="仿宋_GB2312"/>
          <w:sz w:val="32"/>
          <w:szCs w:val="32"/>
          <w:shd w:val="clear" w:color="auto" w:fill="FFFFFF"/>
          <w:lang w:val="en-US" w:eastAsia="zh-CN"/>
        </w:rPr>
        <w:t>共</w:t>
      </w:r>
      <w:r>
        <w:rPr>
          <w:rFonts w:hint="default" w:ascii="Times New Roman" w:hAnsi="Times New Roman" w:eastAsia="仿宋_GB2312" w:cs="仿宋_GB2312"/>
          <w:sz w:val="32"/>
          <w:szCs w:val="32"/>
          <w:shd w:val="clear" w:color="auto" w:fill="FFFFFF"/>
          <w:lang w:val="en-US" w:eastAsia="zh-CN"/>
        </w:rPr>
        <w:t>有99款学生套餐亮相进博会。未来，光明食品集团将扩大试点范围，建立起完善源头集采—中央厨房—冷热链物流配送—光明城市厨房终端的供应链体系。</w:t>
      </w:r>
      <w:r>
        <w:rPr>
          <w:rFonts w:hint="eastAsia" w:ascii="Times New Roman" w:hAnsi="Times New Roman" w:eastAsia="仿宋_GB2312" w:cs="仿宋_GB2312"/>
          <w:sz w:val="32"/>
          <w:szCs w:val="32"/>
          <w:shd w:val="clear" w:color="auto" w:fill="FFFFFF"/>
          <w:lang w:val="en-US" w:eastAsia="zh-CN"/>
        </w:rPr>
        <w:t>（光明食品集团）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百联集团Best-Links展台亮相第四届进博会</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第四届进博会，百联集团发挥全品类、全业态、全渠道优势，带来近百个优质进口品牌、500余个特色单品、6000余件热门展品，将更多海外特色名品、优品、新品带给中国消费者。</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“Best-Links”展台是百联集团近年来国际食品供应链建设成果的一个缩影。“Best-Links”展台的所有展品由集团下属的百联全球购、第一医药、百联优安等成员企业组织品牌、优中选优。</w:t>
      </w:r>
      <w:r>
        <w:rPr>
          <w:rFonts w:hint="eastAsia" w:ascii="Times New Roman" w:hAnsi="Times New Roman" w:eastAsia="仿宋_GB2312" w:cs="仿宋_GB2312"/>
          <w:sz w:val="32"/>
          <w:szCs w:val="32"/>
          <w:shd w:val="clear" w:color="auto" w:fill="FFFFFF"/>
          <w:lang w:val="en-US" w:eastAsia="zh-CN"/>
        </w:rPr>
        <w:t>未来，消费者可通过</w:t>
      </w:r>
      <w:r>
        <w:rPr>
          <w:rFonts w:hint="default" w:ascii="Times New Roman" w:hAnsi="Times New Roman" w:eastAsia="仿宋_GB2312" w:cs="仿宋_GB2312"/>
          <w:sz w:val="32"/>
          <w:szCs w:val="32"/>
          <w:shd w:val="clear" w:color="auto" w:fill="FFFFFF"/>
          <w:lang w:val="en-US" w:eastAsia="zh-CN"/>
        </w:rPr>
        <w:t>百联集团各类零售渠道线下门店及线上i百联APP</w:t>
      </w:r>
      <w:r>
        <w:rPr>
          <w:rFonts w:hint="eastAsia" w:ascii="Times New Roman" w:hAnsi="Times New Roman" w:eastAsia="仿宋_GB2312" w:cs="仿宋_GB2312"/>
          <w:sz w:val="32"/>
          <w:szCs w:val="32"/>
          <w:shd w:val="clear" w:color="auto" w:fill="FFFFFF"/>
          <w:lang w:val="en-US" w:eastAsia="zh-CN"/>
        </w:rPr>
        <w:t>轻松购买到这些进口展品。</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今年的“Best-Links”展台共划分为酒类、生鲜、综合食品、保健食品4个展区</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涵盖葡萄酒、清酒、牛肉、水产、休闲食品、粮油、果汁、咖啡、罐头肉制品、奶酪、营养保健食品等多个品类，产品来源超过20个境外国家和地区</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展会现场，</w:t>
      </w:r>
      <w:r>
        <w:rPr>
          <w:rFonts w:hint="eastAsia" w:ascii="Times New Roman" w:hAnsi="Times New Roman" w:eastAsia="仿宋_GB2312" w:cs="仿宋_GB2312"/>
          <w:sz w:val="32"/>
          <w:szCs w:val="32"/>
          <w:shd w:val="clear" w:color="auto" w:fill="FFFFFF"/>
          <w:lang w:val="en-US" w:eastAsia="zh-CN"/>
        </w:rPr>
        <w:t>还有</w:t>
      </w:r>
      <w:r>
        <w:rPr>
          <w:rFonts w:hint="default" w:ascii="Times New Roman" w:hAnsi="Times New Roman" w:eastAsia="仿宋_GB2312" w:cs="仿宋_GB2312"/>
          <w:sz w:val="32"/>
          <w:szCs w:val="32"/>
          <w:shd w:val="clear" w:color="auto" w:fill="FFFFFF"/>
          <w:lang w:val="en-US" w:eastAsia="zh-CN"/>
        </w:rPr>
        <w:t>试吃品鉴会</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红酒及清酒大师班</w:t>
      </w:r>
      <w:r>
        <w:rPr>
          <w:rFonts w:hint="eastAsia" w:ascii="Times New Roman" w:hAnsi="Times New Roman" w:eastAsia="仿宋_GB2312" w:cs="仿宋_GB2312"/>
          <w:sz w:val="32"/>
          <w:szCs w:val="32"/>
          <w:shd w:val="clear" w:color="auto" w:fill="FFFFFF"/>
          <w:lang w:val="en-US" w:eastAsia="zh-CN"/>
        </w:rPr>
        <w:t>等</w:t>
      </w:r>
      <w:r>
        <w:rPr>
          <w:rFonts w:hint="default" w:ascii="Times New Roman" w:hAnsi="Times New Roman" w:eastAsia="仿宋_GB2312" w:cs="仿宋_GB2312"/>
          <w:sz w:val="32"/>
          <w:szCs w:val="32"/>
          <w:shd w:val="clear" w:color="auto" w:fill="FFFFFF"/>
          <w:lang w:val="en-US" w:eastAsia="zh-CN"/>
        </w:rPr>
        <w:t>互动体验活动轮番登场。</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“i百联”直播团队</w:t>
      </w:r>
      <w:r>
        <w:rPr>
          <w:rFonts w:hint="eastAsia" w:ascii="Times New Roman" w:hAnsi="Times New Roman" w:eastAsia="仿宋_GB2312" w:cs="仿宋_GB2312"/>
          <w:sz w:val="32"/>
          <w:szCs w:val="32"/>
          <w:shd w:val="clear" w:color="auto" w:fill="FFFFFF"/>
          <w:lang w:val="en-US" w:eastAsia="zh-CN"/>
        </w:rPr>
        <w:t>还</w:t>
      </w:r>
      <w:r>
        <w:rPr>
          <w:rFonts w:hint="default" w:ascii="Times New Roman" w:hAnsi="Times New Roman" w:eastAsia="仿宋_GB2312" w:cs="仿宋_GB2312"/>
          <w:sz w:val="32"/>
          <w:szCs w:val="32"/>
          <w:shd w:val="clear" w:color="auto" w:fill="FFFFFF"/>
          <w:lang w:val="en-US" w:eastAsia="zh-CN"/>
        </w:rPr>
        <w:t>将每日优选热门展品。无法亲临现场的消费者</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可在“i百联”下单</w:t>
      </w:r>
      <w:r>
        <w:rPr>
          <w:rFonts w:hint="eastAsia" w:ascii="Times New Roman" w:hAnsi="Times New Roman" w:eastAsia="仿宋_GB2312" w:cs="仿宋_GB2312"/>
          <w:sz w:val="32"/>
          <w:szCs w:val="32"/>
          <w:shd w:val="clear" w:color="auto" w:fill="FFFFFF"/>
          <w:lang w:val="en-US" w:eastAsia="zh-CN"/>
        </w:rPr>
        <w:t>购买</w:t>
      </w:r>
      <w:r>
        <w:rPr>
          <w:rFonts w:hint="default" w:ascii="Times New Roman" w:hAnsi="Times New Roman" w:eastAsia="仿宋_GB2312" w:cs="仿宋_GB2312"/>
          <w:sz w:val="32"/>
          <w:szCs w:val="32"/>
          <w:shd w:val="clear" w:color="auto" w:fill="FFFFFF"/>
          <w:lang w:val="en-US" w:eastAsia="zh-CN"/>
        </w:rPr>
        <w:t>，通过“百联到家”等场景，最快30分钟</w:t>
      </w:r>
      <w:r>
        <w:rPr>
          <w:rFonts w:hint="eastAsia" w:ascii="Times New Roman" w:hAnsi="Times New Roman" w:eastAsia="仿宋_GB2312" w:cs="仿宋_GB2312"/>
          <w:sz w:val="32"/>
          <w:szCs w:val="32"/>
          <w:shd w:val="clear" w:color="auto" w:fill="FFFFFF"/>
          <w:lang w:val="en-US" w:eastAsia="zh-CN"/>
        </w:rPr>
        <w:t>即可收到</w:t>
      </w:r>
      <w:r>
        <w:rPr>
          <w:rFonts w:hint="default" w:ascii="Times New Roman" w:hAnsi="Times New Roman" w:eastAsia="仿宋_GB2312" w:cs="仿宋_GB2312"/>
          <w:sz w:val="32"/>
          <w:szCs w:val="32"/>
          <w:shd w:val="clear" w:color="auto" w:fill="FFFFFF"/>
          <w:lang w:val="en-US" w:eastAsia="zh-CN"/>
        </w:rPr>
        <w:t>热门进博展品。</w:t>
      </w:r>
      <w:r>
        <w:rPr>
          <w:rFonts w:hint="eastAsia" w:ascii="Times New Roman" w:hAnsi="Times New Roman" w:eastAsia="仿宋_GB2312" w:cs="仿宋_GB2312"/>
          <w:sz w:val="32"/>
          <w:szCs w:val="32"/>
          <w:shd w:val="clear" w:color="auto" w:fill="FFFFFF"/>
          <w:lang w:val="en-US" w:eastAsia="zh-CN"/>
        </w:rPr>
        <w:t>（百联集团）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A193E"/>
    <w:rsid w:val="000A2078"/>
    <w:rsid w:val="000B7C98"/>
    <w:rsid w:val="000C6987"/>
    <w:rsid w:val="000D1DEB"/>
    <w:rsid w:val="000D35B8"/>
    <w:rsid w:val="000E10D8"/>
    <w:rsid w:val="00100232"/>
    <w:rsid w:val="0010203C"/>
    <w:rsid w:val="00104B51"/>
    <w:rsid w:val="001154F5"/>
    <w:rsid w:val="0012642C"/>
    <w:rsid w:val="00197224"/>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2618E"/>
    <w:rsid w:val="0032716B"/>
    <w:rsid w:val="003329D6"/>
    <w:rsid w:val="00352A54"/>
    <w:rsid w:val="00363201"/>
    <w:rsid w:val="0036499A"/>
    <w:rsid w:val="0037269B"/>
    <w:rsid w:val="003733E9"/>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930D1"/>
    <w:rsid w:val="00496CC4"/>
    <w:rsid w:val="004B0EA0"/>
    <w:rsid w:val="004B61F5"/>
    <w:rsid w:val="004C0323"/>
    <w:rsid w:val="004D6DA8"/>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F6CF9"/>
    <w:rsid w:val="007271D2"/>
    <w:rsid w:val="007271F6"/>
    <w:rsid w:val="00730884"/>
    <w:rsid w:val="0074545C"/>
    <w:rsid w:val="00756EE3"/>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3B94"/>
    <w:rsid w:val="009921FC"/>
    <w:rsid w:val="009A65AA"/>
    <w:rsid w:val="009B5B7F"/>
    <w:rsid w:val="009F7E15"/>
    <w:rsid w:val="00A37060"/>
    <w:rsid w:val="00A42CB5"/>
    <w:rsid w:val="00A672A6"/>
    <w:rsid w:val="00A72CAA"/>
    <w:rsid w:val="00A76785"/>
    <w:rsid w:val="00A90F19"/>
    <w:rsid w:val="00AB7A6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4E83E7F"/>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0FEF06BF"/>
    <w:rsid w:val="10146F42"/>
    <w:rsid w:val="11412D2A"/>
    <w:rsid w:val="115A7F13"/>
    <w:rsid w:val="1216712E"/>
    <w:rsid w:val="131C5D48"/>
    <w:rsid w:val="133A18D0"/>
    <w:rsid w:val="13ED9B82"/>
    <w:rsid w:val="14235BA4"/>
    <w:rsid w:val="14345A5E"/>
    <w:rsid w:val="14945FFA"/>
    <w:rsid w:val="14B64181"/>
    <w:rsid w:val="15264DDC"/>
    <w:rsid w:val="15B11526"/>
    <w:rsid w:val="16111090"/>
    <w:rsid w:val="17324CB1"/>
    <w:rsid w:val="174A3B2A"/>
    <w:rsid w:val="17D7A831"/>
    <w:rsid w:val="17E34753"/>
    <w:rsid w:val="18EB736D"/>
    <w:rsid w:val="1A38780A"/>
    <w:rsid w:val="1A3C348B"/>
    <w:rsid w:val="1A7F753F"/>
    <w:rsid w:val="1B9B0AC3"/>
    <w:rsid w:val="1BB10D29"/>
    <w:rsid w:val="1BB337F2"/>
    <w:rsid w:val="1BEEEFF3"/>
    <w:rsid w:val="1C772629"/>
    <w:rsid w:val="1CBB44D2"/>
    <w:rsid w:val="1CF547AE"/>
    <w:rsid w:val="1CF65CC8"/>
    <w:rsid w:val="1DB06C07"/>
    <w:rsid w:val="1E1D65C5"/>
    <w:rsid w:val="1E26229B"/>
    <w:rsid w:val="1E445FF6"/>
    <w:rsid w:val="1EAF2145"/>
    <w:rsid w:val="1F7923C8"/>
    <w:rsid w:val="1F992017"/>
    <w:rsid w:val="1FDD3E5A"/>
    <w:rsid w:val="1FFE67A4"/>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7FF9B6"/>
    <w:rsid w:val="26BBF5FD"/>
    <w:rsid w:val="26FC15B4"/>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CB7E703"/>
    <w:rsid w:val="2E210575"/>
    <w:rsid w:val="2E6F4638"/>
    <w:rsid w:val="2EBE4955"/>
    <w:rsid w:val="2EDE58D2"/>
    <w:rsid w:val="2F750D3B"/>
    <w:rsid w:val="2F79404E"/>
    <w:rsid w:val="2F9EE137"/>
    <w:rsid w:val="2FC577DF"/>
    <w:rsid w:val="30255A7C"/>
    <w:rsid w:val="30D57AC5"/>
    <w:rsid w:val="31AB793B"/>
    <w:rsid w:val="31AE53E7"/>
    <w:rsid w:val="32AC34D9"/>
    <w:rsid w:val="32F720DF"/>
    <w:rsid w:val="33240B77"/>
    <w:rsid w:val="337B44EF"/>
    <w:rsid w:val="33D03C95"/>
    <w:rsid w:val="354A0E40"/>
    <w:rsid w:val="35FD5D3C"/>
    <w:rsid w:val="36691427"/>
    <w:rsid w:val="36B03AF6"/>
    <w:rsid w:val="376D7DFC"/>
    <w:rsid w:val="37832EF4"/>
    <w:rsid w:val="37B814A7"/>
    <w:rsid w:val="37EE04B2"/>
    <w:rsid w:val="383677B9"/>
    <w:rsid w:val="386978A8"/>
    <w:rsid w:val="38877B09"/>
    <w:rsid w:val="38DD4D42"/>
    <w:rsid w:val="395B4B6D"/>
    <w:rsid w:val="39AA5BFF"/>
    <w:rsid w:val="39DFF619"/>
    <w:rsid w:val="3ACFAB5D"/>
    <w:rsid w:val="3AFFB1C9"/>
    <w:rsid w:val="3AFFB58D"/>
    <w:rsid w:val="3BAD9D03"/>
    <w:rsid w:val="3BB95FC1"/>
    <w:rsid w:val="3BF23BBD"/>
    <w:rsid w:val="3BFD91CA"/>
    <w:rsid w:val="3BFFE35E"/>
    <w:rsid w:val="3C1463DC"/>
    <w:rsid w:val="3D5D41E4"/>
    <w:rsid w:val="3DDF3320"/>
    <w:rsid w:val="3DEF896D"/>
    <w:rsid w:val="3DFF73DF"/>
    <w:rsid w:val="3E1C6660"/>
    <w:rsid w:val="3E534107"/>
    <w:rsid w:val="3E6D7C40"/>
    <w:rsid w:val="3E7D7357"/>
    <w:rsid w:val="3E7E4483"/>
    <w:rsid w:val="3ED54F3C"/>
    <w:rsid w:val="3EDB2AB4"/>
    <w:rsid w:val="3EDBEDEA"/>
    <w:rsid w:val="3EDE900B"/>
    <w:rsid w:val="3EEB0124"/>
    <w:rsid w:val="3F007A43"/>
    <w:rsid w:val="3F1FACC7"/>
    <w:rsid w:val="3F210492"/>
    <w:rsid w:val="3F4F63EB"/>
    <w:rsid w:val="3F63104E"/>
    <w:rsid w:val="3F7E50B6"/>
    <w:rsid w:val="3F966F11"/>
    <w:rsid w:val="3F9F1B67"/>
    <w:rsid w:val="3FB74C49"/>
    <w:rsid w:val="3FBCA1C9"/>
    <w:rsid w:val="3FE7AC8F"/>
    <w:rsid w:val="3FF55B04"/>
    <w:rsid w:val="3FF58BF6"/>
    <w:rsid w:val="3FFD753C"/>
    <w:rsid w:val="3FFE60C4"/>
    <w:rsid w:val="400B2BD4"/>
    <w:rsid w:val="40644FCB"/>
    <w:rsid w:val="41330CF8"/>
    <w:rsid w:val="41494B47"/>
    <w:rsid w:val="41FAB2F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3FB2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CFD4422"/>
    <w:rsid w:val="4D1526D4"/>
    <w:rsid w:val="4D6D2037"/>
    <w:rsid w:val="4D804106"/>
    <w:rsid w:val="4E26525A"/>
    <w:rsid w:val="4E3D3C01"/>
    <w:rsid w:val="4E423B39"/>
    <w:rsid w:val="4E8A31F9"/>
    <w:rsid w:val="4EE3B27E"/>
    <w:rsid w:val="4EFEF1BD"/>
    <w:rsid w:val="4F364C44"/>
    <w:rsid w:val="4F3A05E4"/>
    <w:rsid w:val="4F896F2C"/>
    <w:rsid w:val="4FBA4337"/>
    <w:rsid w:val="4FD52B07"/>
    <w:rsid w:val="4FDFC399"/>
    <w:rsid w:val="4FFFBF83"/>
    <w:rsid w:val="504C5CD6"/>
    <w:rsid w:val="50515637"/>
    <w:rsid w:val="50A92D4C"/>
    <w:rsid w:val="50C9326E"/>
    <w:rsid w:val="51FED7AB"/>
    <w:rsid w:val="52325B10"/>
    <w:rsid w:val="52533C9E"/>
    <w:rsid w:val="52745A82"/>
    <w:rsid w:val="52A76694"/>
    <w:rsid w:val="53631164"/>
    <w:rsid w:val="53B6A970"/>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B9FB243"/>
    <w:rsid w:val="5BD462C2"/>
    <w:rsid w:val="5BDA7277"/>
    <w:rsid w:val="5BFF86E1"/>
    <w:rsid w:val="5CBB7F06"/>
    <w:rsid w:val="5CC951D9"/>
    <w:rsid w:val="5DE2B87C"/>
    <w:rsid w:val="5DF789F4"/>
    <w:rsid w:val="5DFD6677"/>
    <w:rsid w:val="5EBFC7DC"/>
    <w:rsid w:val="5EE75251"/>
    <w:rsid w:val="5EF04743"/>
    <w:rsid w:val="5EFA7CCD"/>
    <w:rsid w:val="5EFD0752"/>
    <w:rsid w:val="5EFFEF1F"/>
    <w:rsid w:val="5F26A01C"/>
    <w:rsid w:val="5F2F9981"/>
    <w:rsid w:val="5F3BFFEF"/>
    <w:rsid w:val="5F3E0ACB"/>
    <w:rsid w:val="5F719710"/>
    <w:rsid w:val="5F75119B"/>
    <w:rsid w:val="5F8671C4"/>
    <w:rsid w:val="5F90270D"/>
    <w:rsid w:val="5FFB409E"/>
    <w:rsid w:val="5FFD34DC"/>
    <w:rsid w:val="5FFF3367"/>
    <w:rsid w:val="5FFF367E"/>
    <w:rsid w:val="60296926"/>
    <w:rsid w:val="608A504B"/>
    <w:rsid w:val="60D01697"/>
    <w:rsid w:val="610C368A"/>
    <w:rsid w:val="619A66F6"/>
    <w:rsid w:val="61B25FB6"/>
    <w:rsid w:val="61C87088"/>
    <w:rsid w:val="626C5D26"/>
    <w:rsid w:val="626F3584"/>
    <w:rsid w:val="63916243"/>
    <w:rsid w:val="63BF555C"/>
    <w:rsid w:val="63FD3A46"/>
    <w:rsid w:val="64594F63"/>
    <w:rsid w:val="64DC2F96"/>
    <w:rsid w:val="64EA1512"/>
    <w:rsid w:val="65DF58AF"/>
    <w:rsid w:val="66F63CDE"/>
    <w:rsid w:val="67174435"/>
    <w:rsid w:val="6721FBB0"/>
    <w:rsid w:val="67EF3E8A"/>
    <w:rsid w:val="68073088"/>
    <w:rsid w:val="68122A21"/>
    <w:rsid w:val="684360B9"/>
    <w:rsid w:val="686D42B8"/>
    <w:rsid w:val="698F4B52"/>
    <w:rsid w:val="69DC28C9"/>
    <w:rsid w:val="69DC3B86"/>
    <w:rsid w:val="6A4E41D7"/>
    <w:rsid w:val="6A73318F"/>
    <w:rsid w:val="6A850831"/>
    <w:rsid w:val="6A8526E2"/>
    <w:rsid w:val="6A9C6BC1"/>
    <w:rsid w:val="6AAC43AB"/>
    <w:rsid w:val="6B7D1767"/>
    <w:rsid w:val="6BA36B4E"/>
    <w:rsid w:val="6BEEC230"/>
    <w:rsid w:val="6BFF4142"/>
    <w:rsid w:val="6BFFA83E"/>
    <w:rsid w:val="6D578914"/>
    <w:rsid w:val="6D8C308F"/>
    <w:rsid w:val="6DFF192A"/>
    <w:rsid w:val="6E2E602E"/>
    <w:rsid w:val="6E547698"/>
    <w:rsid w:val="6E7C06DC"/>
    <w:rsid w:val="6E9149EE"/>
    <w:rsid w:val="6EBB6209"/>
    <w:rsid w:val="6EDC8900"/>
    <w:rsid w:val="6EFF14AF"/>
    <w:rsid w:val="6EFFAE1F"/>
    <w:rsid w:val="6EFFB9EA"/>
    <w:rsid w:val="6F1827C1"/>
    <w:rsid w:val="6FBB27F8"/>
    <w:rsid w:val="6FDDE660"/>
    <w:rsid w:val="6FDED90F"/>
    <w:rsid w:val="6FDF6291"/>
    <w:rsid w:val="6FE33744"/>
    <w:rsid w:val="6FFF1A49"/>
    <w:rsid w:val="6FFF438D"/>
    <w:rsid w:val="70530F00"/>
    <w:rsid w:val="706A0DB9"/>
    <w:rsid w:val="708E3EC7"/>
    <w:rsid w:val="713A7953"/>
    <w:rsid w:val="714F0D55"/>
    <w:rsid w:val="71DFF472"/>
    <w:rsid w:val="71FE9BA7"/>
    <w:rsid w:val="72526DF2"/>
    <w:rsid w:val="72CDC4DA"/>
    <w:rsid w:val="72EE4E2A"/>
    <w:rsid w:val="72FD5062"/>
    <w:rsid w:val="734D29FA"/>
    <w:rsid w:val="73A84BDE"/>
    <w:rsid w:val="73C82C13"/>
    <w:rsid w:val="73CB765F"/>
    <w:rsid w:val="73ED1795"/>
    <w:rsid w:val="73FF0429"/>
    <w:rsid w:val="74F32415"/>
    <w:rsid w:val="752442A1"/>
    <w:rsid w:val="756C12B5"/>
    <w:rsid w:val="7571060B"/>
    <w:rsid w:val="757DE146"/>
    <w:rsid w:val="757F37A2"/>
    <w:rsid w:val="75BE11A9"/>
    <w:rsid w:val="75BF729B"/>
    <w:rsid w:val="75E51AD6"/>
    <w:rsid w:val="75ED5D32"/>
    <w:rsid w:val="75F62ADA"/>
    <w:rsid w:val="769E038C"/>
    <w:rsid w:val="76D2236C"/>
    <w:rsid w:val="76EEE8D8"/>
    <w:rsid w:val="773DBCE0"/>
    <w:rsid w:val="7759CCBC"/>
    <w:rsid w:val="777F24F3"/>
    <w:rsid w:val="777F27A6"/>
    <w:rsid w:val="777F3492"/>
    <w:rsid w:val="77B7D0A7"/>
    <w:rsid w:val="77EB37C5"/>
    <w:rsid w:val="77EF34B0"/>
    <w:rsid w:val="77FB83BA"/>
    <w:rsid w:val="77FED36B"/>
    <w:rsid w:val="77FF52D7"/>
    <w:rsid w:val="78360861"/>
    <w:rsid w:val="78432307"/>
    <w:rsid w:val="78EFB3ED"/>
    <w:rsid w:val="790B46BF"/>
    <w:rsid w:val="79313054"/>
    <w:rsid w:val="7948586D"/>
    <w:rsid w:val="79648CE7"/>
    <w:rsid w:val="797C3BF5"/>
    <w:rsid w:val="797F123B"/>
    <w:rsid w:val="79AB49BC"/>
    <w:rsid w:val="79BC665B"/>
    <w:rsid w:val="79FE79B4"/>
    <w:rsid w:val="7A050800"/>
    <w:rsid w:val="7A39EDEC"/>
    <w:rsid w:val="7AA93709"/>
    <w:rsid w:val="7AE3B1CB"/>
    <w:rsid w:val="7AEBF352"/>
    <w:rsid w:val="7B6C4EA4"/>
    <w:rsid w:val="7BC6564B"/>
    <w:rsid w:val="7BDD09BC"/>
    <w:rsid w:val="7BDD7736"/>
    <w:rsid w:val="7BDDB5A4"/>
    <w:rsid w:val="7BEFC310"/>
    <w:rsid w:val="7BF415AE"/>
    <w:rsid w:val="7BF64E7C"/>
    <w:rsid w:val="7BFAE303"/>
    <w:rsid w:val="7BFF6E25"/>
    <w:rsid w:val="7BFF8A60"/>
    <w:rsid w:val="7CA3E458"/>
    <w:rsid w:val="7CB3EBE0"/>
    <w:rsid w:val="7CB7E3D2"/>
    <w:rsid w:val="7CFB5822"/>
    <w:rsid w:val="7D28E77E"/>
    <w:rsid w:val="7D5BE8F4"/>
    <w:rsid w:val="7D7443DF"/>
    <w:rsid w:val="7D771268"/>
    <w:rsid w:val="7D9EE097"/>
    <w:rsid w:val="7DB3750F"/>
    <w:rsid w:val="7DB7E609"/>
    <w:rsid w:val="7DCB6F6A"/>
    <w:rsid w:val="7DD7B045"/>
    <w:rsid w:val="7DFB5848"/>
    <w:rsid w:val="7DFB927B"/>
    <w:rsid w:val="7DFBEF8B"/>
    <w:rsid w:val="7E3D8E77"/>
    <w:rsid w:val="7E633738"/>
    <w:rsid w:val="7EBF3B34"/>
    <w:rsid w:val="7EDB2892"/>
    <w:rsid w:val="7EDDF3B3"/>
    <w:rsid w:val="7EDFDDE4"/>
    <w:rsid w:val="7EE61F98"/>
    <w:rsid w:val="7EEFE61A"/>
    <w:rsid w:val="7EF853F7"/>
    <w:rsid w:val="7EFA2DC0"/>
    <w:rsid w:val="7F0D4BF9"/>
    <w:rsid w:val="7F0FCB8D"/>
    <w:rsid w:val="7F1DD400"/>
    <w:rsid w:val="7F5EF503"/>
    <w:rsid w:val="7F5F1E43"/>
    <w:rsid w:val="7F5FC928"/>
    <w:rsid w:val="7F693029"/>
    <w:rsid w:val="7F74512A"/>
    <w:rsid w:val="7F7D58EC"/>
    <w:rsid w:val="7F7EEAE6"/>
    <w:rsid w:val="7F7FD5AF"/>
    <w:rsid w:val="7F7FF2D4"/>
    <w:rsid w:val="7FAE582C"/>
    <w:rsid w:val="7FAFF2D2"/>
    <w:rsid w:val="7FB3B84E"/>
    <w:rsid w:val="7FB7C67E"/>
    <w:rsid w:val="7FBD6F39"/>
    <w:rsid w:val="7FBED5B8"/>
    <w:rsid w:val="7FBF0E75"/>
    <w:rsid w:val="7FBF2EC1"/>
    <w:rsid w:val="7FCF295D"/>
    <w:rsid w:val="7FD32164"/>
    <w:rsid w:val="7FDF0CEB"/>
    <w:rsid w:val="7FDFBD80"/>
    <w:rsid w:val="7FE096A7"/>
    <w:rsid w:val="7FE7D5AC"/>
    <w:rsid w:val="7FEB79B7"/>
    <w:rsid w:val="7FF7221F"/>
    <w:rsid w:val="7FFA825E"/>
    <w:rsid w:val="7FFB38AA"/>
    <w:rsid w:val="7FFB5796"/>
    <w:rsid w:val="7FFD042B"/>
    <w:rsid w:val="7FFF14A8"/>
    <w:rsid w:val="8BED4AB5"/>
    <w:rsid w:val="8CFFBDAB"/>
    <w:rsid w:val="97774B89"/>
    <w:rsid w:val="97B8E4DD"/>
    <w:rsid w:val="9BEE8037"/>
    <w:rsid w:val="9BFF808B"/>
    <w:rsid w:val="9C3F0544"/>
    <w:rsid w:val="9D4B5CFF"/>
    <w:rsid w:val="9EDF1CF9"/>
    <w:rsid w:val="9FD7130A"/>
    <w:rsid w:val="9FF71F03"/>
    <w:rsid w:val="A7F57746"/>
    <w:rsid w:val="ABB751B9"/>
    <w:rsid w:val="ADFF433D"/>
    <w:rsid w:val="AEDEE495"/>
    <w:rsid w:val="AFCA4003"/>
    <w:rsid w:val="AFDFB2EC"/>
    <w:rsid w:val="AFFF1846"/>
    <w:rsid w:val="B0776C7D"/>
    <w:rsid w:val="B3D363FA"/>
    <w:rsid w:val="B4B7E6F6"/>
    <w:rsid w:val="B5667DE8"/>
    <w:rsid w:val="B6FF98D8"/>
    <w:rsid w:val="B7751E9D"/>
    <w:rsid w:val="B7792213"/>
    <w:rsid w:val="B77F1595"/>
    <w:rsid w:val="B7DFC9AC"/>
    <w:rsid w:val="B7E7CA7E"/>
    <w:rsid w:val="B7E887A2"/>
    <w:rsid w:val="BA7B23C6"/>
    <w:rsid w:val="BBB80B21"/>
    <w:rsid w:val="BBF0B1D4"/>
    <w:rsid w:val="BBFE17FF"/>
    <w:rsid w:val="BC69FFEE"/>
    <w:rsid w:val="BDFE05E5"/>
    <w:rsid w:val="BE9F711E"/>
    <w:rsid w:val="BEB6E3AA"/>
    <w:rsid w:val="BF6D28EE"/>
    <w:rsid w:val="BF770540"/>
    <w:rsid w:val="BF9EBA7F"/>
    <w:rsid w:val="BFBF604E"/>
    <w:rsid w:val="BFCD98E6"/>
    <w:rsid w:val="BFD758F6"/>
    <w:rsid w:val="BFE84A56"/>
    <w:rsid w:val="BFF503AA"/>
    <w:rsid w:val="C6B3E996"/>
    <w:rsid w:val="CA79EB92"/>
    <w:rsid w:val="CBD216F1"/>
    <w:rsid w:val="CDB7131D"/>
    <w:rsid w:val="CDF66A37"/>
    <w:rsid w:val="CE7B1F6D"/>
    <w:rsid w:val="CF6FE5BF"/>
    <w:rsid w:val="CFFF7263"/>
    <w:rsid w:val="D3F7181E"/>
    <w:rsid w:val="D575F8B3"/>
    <w:rsid w:val="D5E453BB"/>
    <w:rsid w:val="D65727CA"/>
    <w:rsid w:val="D79F04B7"/>
    <w:rsid w:val="D7DBA9D9"/>
    <w:rsid w:val="D871C734"/>
    <w:rsid w:val="D96FFD13"/>
    <w:rsid w:val="DB77C6AA"/>
    <w:rsid w:val="DBB45EC7"/>
    <w:rsid w:val="DBB7DCAD"/>
    <w:rsid w:val="DD1E3FE5"/>
    <w:rsid w:val="DDD6A864"/>
    <w:rsid w:val="DDFF515B"/>
    <w:rsid w:val="DE7E3434"/>
    <w:rsid w:val="DF5FE9A4"/>
    <w:rsid w:val="DF8D9F2A"/>
    <w:rsid w:val="DFBE1F74"/>
    <w:rsid w:val="DFBFF46D"/>
    <w:rsid w:val="DFD39371"/>
    <w:rsid w:val="DFD7992A"/>
    <w:rsid w:val="DFE86CD9"/>
    <w:rsid w:val="DFEFD79F"/>
    <w:rsid w:val="DFF2A75D"/>
    <w:rsid w:val="DFF7097B"/>
    <w:rsid w:val="DFF7E9E8"/>
    <w:rsid w:val="DFFFEF32"/>
    <w:rsid w:val="E3FFF991"/>
    <w:rsid w:val="E77F5EA1"/>
    <w:rsid w:val="E7D2B536"/>
    <w:rsid w:val="E7E32D34"/>
    <w:rsid w:val="E7FE71EC"/>
    <w:rsid w:val="E9EFF5A2"/>
    <w:rsid w:val="E9F71EFB"/>
    <w:rsid w:val="E9F9C654"/>
    <w:rsid w:val="EAF3D906"/>
    <w:rsid w:val="EBF3E73D"/>
    <w:rsid w:val="ECFD53F7"/>
    <w:rsid w:val="ECFD6B35"/>
    <w:rsid w:val="ED7A7268"/>
    <w:rsid w:val="ED92881B"/>
    <w:rsid w:val="EDFD3883"/>
    <w:rsid w:val="EEEB3569"/>
    <w:rsid w:val="EF3F11F5"/>
    <w:rsid w:val="EFCFE231"/>
    <w:rsid w:val="EFDF6594"/>
    <w:rsid w:val="EFEECA89"/>
    <w:rsid w:val="EFEF0546"/>
    <w:rsid w:val="EFF64020"/>
    <w:rsid w:val="F0F61048"/>
    <w:rsid w:val="F17F9430"/>
    <w:rsid w:val="F37BF0F4"/>
    <w:rsid w:val="F3F588B3"/>
    <w:rsid w:val="F4EB7184"/>
    <w:rsid w:val="F4FF70F3"/>
    <w:rsid w:val="F51711C5"/>
    <w:rsid w:val="F5770D14"/>
    <w:rsid w:val="F59B40C9"/>
    <w:rsid w:val="F5AD9A7A"/>
    <w:rsid w:val="F5E37F84"/>
    <w:rsid w:val="F5FFCDAA"/>
    <w:rsid w:val="F67F1FBA"/>
    <w:rsid w:val="F6B64021"/>
    <w:rsid w:val="F6B7B23B"/>
    <w:rsid w:val="F6BB9783"/>
    <w:rsid w:val="F77DC6BD"/>
    <w:rsid w:val="F7BF6F7E"/>
    <w:rsid w:val="F7CB35D6"/>
    <w:rsid w:val="F7DFA99F"/>
    <w:rsid w:val="F7E77B1B"/>
    <w:rsid w:val="F81BE653"/>
    <w:rsid w:val="F954ECAC"/>
    <w:rsid w:val="F97EA843"/>
    <w:rsid w:val="F99F5FCD"/>
    <w:rsid w:val="F9ADBD19"/>
    <w:rsid w:val="F9CB4603"/>
    <w:rsid w:val="F9EE8E0B"/>
    <w:rsid w:val="FA7A06FB"/>
    <w:rsid w:val="FADF24C8"/>
    <w:rsid w:val="FAEBA67B"/>
    <w:rsid w:val="FAFE117F"/>
    <w:rsid w:val="FB3BD7B7"/>
    <w:rsid w:val="FB3F381C"/>
    <w:rsid w:val="FB6BC9E4"/>
    <w:rsid w:val="FB6E079A"/>
    <w:rsid w:val="FB731EEE"/>
    <w:rsid w:val="FB7E255A"/>
    <w:rsid w:val="FB7E7301"/>
    <w:rsid w:val="FB9A2932"/>
    <w:rsid w:val="FBAF3D89"/>
    <w:rsid w:val="FBC7FF36"/>
    <w:rsid w:val="FBE71ED1"/>
    <w:rsid w:val="FBE7B8C1"/>
    <w:rsid w:val="FBE94202"/>
    <w:rsid w:val="FBEFF66E"/>
    <w:rsid w:val="FBF54569"/>
    <w:rsid w:val="FBF60EB2"/>
    <w:rsid w:val="FBF72BFB"/>
    <w:rsid w:val="FBF75EAD"/>
    <w:rsid w:val="FBFD0A38"/>
    <w:rsid w:val="FC25C5E7"/>
    <w:rsid w:val="FCEA529A"/>
    <w:rsid w:val="FDAFB4F1"/>
    <w:rsid w:val="FDBF56C9"/>
    <w:rsid w:val="FDDF0EA7"/>
    <w:rsid w:val="FDF5BED9"/>
    <w:rsid w:val="FDFDF5D5"/>
    <w:rsid w:val="FDFFC2E3"/>
    <w:rsid w:val="FE3F5735"/>
    <w:rsid w:val="FE5C417D"/>
    <w:rsid w:val="FE6C24E4"/>
    <w:rsid w:val="FE734873"/>
    <w:rsid w:val="FE7B7CB0"/>
    <w:rsid w:val="FEFAF135"/>
    <w:rsid w:val="FF2F9CBD"/>
    <w:rsid w:val="FF4A94F5"/>
    <w:rsid w:val="FF7FEB2B"/>
    <w:rsid w:val="FFADA9B1"/>
    <w:rsid w:val="FFAEAD8D"/>
    <w:rsid w:val="FFAFED48"/>
    <w:rsid w:val="FFBB1F94"/>
    <w:rsid w:val="FFBCF1D1"/>
    <w:rsid w:val="FFBE1005"/>
    <w:rsid w:val="FFCD5055"/>
    <w:rsid w:val="FFCE7403"/>
    <w:rsid w:val="FFDB02E8"/>
    <w:rsid w:val="FFDF9E34"/>
    <w:rsid w:val="FFEA4955"/>
    <w:rsid w:val="FFED5712"/>
    <w:rsid w:val="FFF301DC"/>
    <w:rsid w:val="FFF38974"/>
    <w:rsid w:val="FFF73987"/>
    <w:rsid w:val="FFFB72DD"/>
    <w:rsid w:val="FFFBB5F8"/>
    <w:rsid w:val="FFFD2817"/>
    <w:rsid w:val="FFFD6502"/>
    <w:rsid w:val="FFFF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663</Words>
  <Characters>3781</Characters>
  <Lines>31</Lines>
  <Paragraphs>8</Paragraphs>
  <TotalTime>9</TotalTime>
  <ScaleCrop>false</ScaleCrop>
  <LinksUpToDate>false</LinksUpToDate>
  <CharactersWithSpaces>4436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2021-08-04T20:29:00Z</dcterms:created>
  <dc:creator>user</dc:creator>
  <cp:lastModifiedBy>user</cp:lastModifiedBy>
  <cp:lastPrinted>2021-11-11T01:17:00Z</cp:lastPrinted>
  <dcterms:modified xsi:type="dcterms:W3CDTF">2021-11-12T14:20:15Z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