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32</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23年</w:t>
      </w:r>
      <w:r>
        <w:rPr>
          <w:rFonts w:hint="eastAsia" w:ascii="楷体_GB2312" w:eastAsia="楷体_GB2312"/>
          <w:spacing w:val="-14"/>
          <w:sz w:val="28"/>
          <w:u w:val="single" w:color="FF0000"/>
          <w:lang w:val="en-US" w:eastAsia="zh-CN"/>
        </w:rPr>
        <w:t>9</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22</w:t>
      </w:r>
      <w:bookmarkStart w:id="0" w:name="_GoBack"/>
      <w:bookmarkEnd w:id="0"/>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hint="eastAsia" w:ascii="Times New Roman" w:hAnsi="Times New Roman" w:eastAsia="楷体_GB2312"/>
          <w:b/>
          <w:bCs/>
          <w:color w:val="auto"/>
          <w:sz w:val="32"/>
          <w:szCs w:val="32"/>
          <w:lang w:eastAsia="zh-CN"/>
        </w:rPr>
      </w:pPr>
      <w:r>
        <w:rPr>
          <w:rFonts w:hint="eastAsia" w:ascii="Times New Roman" w:hAnsi="Times New Roman" w:eastAsia="楷体_GB2312"/>
          <w:b/>
          <w:bCs/>
          <w:color w:val="auto"/>
          <w:sz w:val="32"/>
          <w:szCs w:val="32"/>
          <w:lang w:eastAsia="zh-CN"/>
        </w:rPr>
        <w:t>金融工作</w:t>
      </w:r>
    </w:p>
    <w:p>
      <w:pPr>
        <w:widowControl w:val="0"/>
        <w:numPr>
          <w:ilvl w:val="255"/>
          <w:numId w:val="0"/>
        </w:numPr>
        <w:jc w:val="center"/>
        <w:rPr>
          <w:rFonts w:hint="eastAsia" w:ascii="Times New Roman" w:hAnsi="Times New Roman" w:eastAsia="华文中宋" w:cs="华文中宋"/>
          <w:i w:val="0"/>
          <w:caps w:val="0"/>
          <w:color w:val="auto"/>
          <w:spacing w:val="0"/>
          <w:sz w:val="36"/>
          <w:szCs w:val="36"/>
          <w:highlight w:val="none"/>
          <w:shd w:val="clear" w:color="auto" w:fill="FFFFFF"/>
          <w:lang w:bidi="ar"/>
        </w:rPr>
      </w:pPr>
      <w:r>
        <w:rPr>
          <w:rFonts w:hint="eastAsia" w:ascii="Times New Roman" w:hAnsi="Times New Roman" w:eastAsia="华文中宋" w:cs="华文中宋"/>
          <w:i w:val="0"/>
          <w:caps w:val="0"/>
          <w:color w:val="auto"/>
          <w:spacing w:val="0"/>
          <w:sz w:val="36"/>
          <w:szCs w:val="36"/>
          <w:highlight w:val="none"/>
          <w:shd w:val="clear" w:color="auto" w:fill="FFFFFF"/>
          <w:lang w:bidi="ar"/>
        </w:rPr>
        <w:t>领跑ESG发展，上海多家国企入选</w:t>
      </w:r>
    </w:p>
    <w:p>
      <w:pPr>
        <w:widowControl w:val="0"/>
        <w:numPr>
          <w:ilvl w:val="255"/>
          <w:numId w:val="0"/>
        </w:numPr>
        <w:jc w:val="center"/>
        <w:rPr>
          <w:rFonts w:ascii="Times New Roman" w:hAnsi="Times New Roman" w:eastAsia="华文中宋" w:cs="华文中宋"/>
          <w:i w:val="0"/>
          <w:caps w:val="0"/>
          <w:color w:val="auto"/>
          <w:spacing w:val="0"/>
          <w:sz w:val="36"/>
          <w:szCs w:val="36"/>
          <w:highlight w:val="none"/>
          <w:shd w:val="clear" w:color="auto" w:fill="FFFFFF"/>
          <w:lang w:bidi="ar"/>
        </w:rPr>
      </w:pPr>
      <w:r>
        <w:rPr>
          <w:rFonts w:hint="eastAsia" w:ascii="Times New Roman" w:hAnsi="Times New Roman" w:eastAsia="华文中宋" w:cs="华文中宋"/>
          <w:i w:val="0"/>
          <w:caps w:val="0"/>
          <w:color w:val="auto"/>
          <w:spacing w:val="0"/>
          <w:sz w:val="36"/>
          <w:szCs w:val="36"/>
          <w:highlight w:val="none"/>
          <w:shd w:val="clear" w:color="auto" w:fill="FFFFFF"/>
          <w:lang w:bidi="ar"/>
        </w:rPr>
        <w:t>“中国ESG上市公司金融业先锋30”榜单</w:t>
      </w:r>
    </w:p>
    <w:p>
      <w:pPr>
        <w:widowControl w:val="0"/>
        <w:numPr>
          <w:ilvl w:val="255"/>
          <w:numId w:val="0"/>
        </w:numPr>
        <w:ind w:firstLine="640" w:firstLineChars="200"/>
        <w:jc w:val="both"/>
        <w:rPr>
          <w:rFonts w:ascii="Times New Roman" w:hAnsi="Times New Roman" w:eastAsia="仿宋_GB2312" w:cs="宋体"/>
          <w:i w:val="0"/>
          <w:caps w:val="0"/>
          <w:color w:val="auto"/>
          <w:spacing w:val="0"/>
          <w:sz w:val="32"/>
          <w:szCs w:val="32"/>
          <w:shd w:val="clear"/>
          <w:lang w:bidi="ar"/>
        </w:rPr>
      </w:pPr>
      <w:r>
        <w:rPr>
          <w:rFonts w:ascii="Times New Roman" w:hAnsi="Times New Roman" w:eastAsia="仿宋_GB2312" w:cs="宋体"/>
          <w:i w:val="0"/>
          <w:caps w:val="0"/>
          <w:color w:val="auto"/>
          <w:spacing w:val="0"/>
          <w:sz w:val="32"/>
          <w:szCs w:val="32"/>
          <w:shd w:val="clear"/>
          <w:lang w:bidi="ar"/>
        </w:rPr>
        <w:t>近日，中央广播电视总台财经节目中心“中国ESG（企业社会责任）发布”活动发布《金融业ESG行动报告》，国泰君安、东方证券、上海农商银行、海通证券、中国太保、上海银行入选“中国ESG上市公司金融业先锋30”榜单。</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lang w:bidi="ar"/>
        </w:rPr>
      </w:pPr>
      <w:r>
        <w:rPr>
          <w:rFonts w:hint="default" w:ascii="Times New Roman" w:hAnsi="Times New Roman" w:eastAsia="仿宋_GB2312" w:cs="宋体"/>
          <w:b/>
          <w:bCs/>
          <w:i w:val="0"/>
          <w:caps w:val="0"/>
          <w:color w:val="auto"/>
          <w:spacing w:val="0"/>
          <w:sz w:val="32"/>
          <w:szCs w:val="32"/>
          <w:shd w:val="clear"/>
          <w:lang w:bidi="ar"/>
        </w:rPr>
        <w:t>国泰君安</w:t>
      </w:r>
      <w:r>
        <w:rPr>
          <w:rFonts w:hint="default" w:ascii="Times New Roman" w:hAnsi="Times New Roman" w:eastAsia="仿宋_GB2312" w:cs="宋体"/>
          <w:i w:val="0"/>
          <w:caps w:val="0"/>
          <w:color w:val="auto"/>
          <w:spacing w:val="0"/>
          <w:sz w:val="32"/>
          <w:szCs w:val="32"/>
          <w:shd w:val="clear"/>
          <w:lang w:bidi="ar"/>
        </w:rPr>
        <w:t>作为首批获得中国证监会碳交易牌照的证券公司，</w:t>
      </w:r>
      <w:r>
        <w:rPr>
          <w:rFonts w:hint="eastAsia" w:ascii="Times New Roman" w:hAnsi="Times New Roman" w:eastAsia="仿宋_GB2312" w:cs="宋体"/>
          <w:i w:val="0"/>
          <w:caps w:val="0"/>
          <w:color w:val="auto"/>
          <w:spacing w:val="0"/>
          <w:sz w:val="32"/>
          <w:szCs w:val="32"/>
          <w:shd w:val="clear"/>
          <w:lang w:eastAsia="zh-CN" w:bidi="ar"/>
        </w:rPr>
        <w:t>碳金融业务</w:t>
      </w:r>
      <w:r>
        <w:rPr>
          <w:rFonts w:hint="default" w:ascii="Times New Roman" w:hAnsi="Times New Roman" w:eastAsia="仿宋_GB2312" w:cs="宋体"/>
          <w:i w:val="0"/>
          <w:caps w:val="0"/>
          <w:color w:val="auto"/>
          <w:spacing w:val="0"/>
          <w:sz w:val="32"/>
          <w:szCs w:val="32"/>
          <w:shd w:val="clear"/>
          <w:lang w:bidi="ar"/>
        </w:rPr>
        <w:t>历史累计成交量达6700万吨，交易规模在多个碳排放权交易试点区域名列前茅。2023年上半年，公司承销绿色债券（含绿色ABS）49只、发行规模合计1943亿元。截至2023年6月底，公司累计创设ESG公募基金10只、规模合计48亿元，代销ESG基金共计203只、占全市场ESG基金数量的比例达64%，绿色资产托管外包规模26亿元，绿色债券投资余额71亿元。自2012年成立公益基金会以来，公司及员工累计捐赠超2.8亿元，直接受益人数超过126万人次，被民政部授予第十二届“中华慈善奖”。</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lang w:bidi="ar"/>
        </w:rPr>
      </w:pPr>
      <w:r>
        <w:rPr>
          <w:rFonts w:hint="default" w:ascii="Times New Roman" w:hAnsi="Times New Roman" w:eastAsia="仿宋_GB2312" w:cs="宋体"/>
          <w:i w:val="0"/>
          <w:caps w:val="0"/>
          <w:color w:val="auto"/>
          <w:spacing w:val="0"/>
          <w:sz w:val="32"/>
          <w:szCs w:val="32"/>
          <w:shd w:val="clear"/>
          <w:lang w:bidi="ar"/>
        </w:rPr>
        <w:t>申能集团旗下</w:t>
      </w:r>
      <w:r>
        <w:rPr>
          <w:rFonts w:hint="default" w:ascii="Times New Roman" w:hAnsi="Times New Roman" w:eastAsia="仿宋_GB2312" w:cs="宋体"/>
          <w:b/>
          <w:bCs/>
          <w:i w:val="0"/>
          <w:caps w:val="0"/>
          <w:color w:val="auto"/>
          <w:spacing w:val="0"/>
          <w:sz w:val="32"/>
          <w:szCs w:val="32"/>
          <w:shd w:val="clear"/>
          <w:lang w:bidi="ar"/>
        </w:rPr>
        <w:t>东方证券</w:t>
      </w:r>
      <w:r>
        <w:rPr>
          <w:rFonts w:hint="default" w:ascii="Times New Roman" w:hAnsi="Times New Roman" w:eastAsia="仿宋_GB2312" w:cs="宋体"/>
          <w:i w:val="0"/>
          <w:caps w:val="0"/>
          <w:color w:val="auto"/>
          <w:spacing w:val="0"/>
          <w:sz w:val="32"/>
          <w:szCs w:val="32"/>
          <w:shd w:val="clear"/>
          <w:lang w:bidi="ar"/>
        </w:rPr>
        <w:t>将ESG要求融入经营管理，行业内首家发布系统性可持续发展规划，涵盖治理、经济、环境、社会四大方面，涉及自身运营、业务发展、品牌文化建设三大维度，连续两年获明晟ESG评级A级。东方证券为可持续发展提供切实的金融支持，先后参与发行全国首批碳中和绿色资产支持商业票据、全国首批“碳中和债”、全国首单绿色建筑“碳中和”公司债、全国首单绿色科技创新可交换公司债券等创新型绿色金融工具；发布“东方证券·碳中和指数”，为各利益相关方了解和投资“碳中和”相关主题提供支持；联合编制新华碳科技指数，聚焦节能降碳领域的科技创新，推动绿色低碳关键技术供给。</w:t>
      </w:r>
    </w:p>
    <w:p>
      <w:pPr>
        <w:widowControl w:val="0"/>
        <w:numPr>
          <w:ilvl w:val="255"/>
          <w:numId w:val="0"/>
        </w:numPr>
        <w:ind w:firstLine="643" w:firstLineChars="200"/>
        <w:jc w:val="both"/>
        <w:rPr>
          <w:rFonts w:ascii="Times New Roman" w:hAnsi="Times New Roman" w:eastAsia="仿宋_GB2312" w:cs="宋体"/>
          <w:i w:val="0"/>
          <w:caps w:val="0"/>
          <w:color w:val="auto"/>
          <w:spacing w:val="0"/>
          <w:sz w:val="32"/>
          <w:szCs w:val="32"/>
          <w:shd w:val="clear"/>
          <w:lang w:bidi="ar"/>
        </w:rPr>
      </w:pPr>
      <w:r>
        <w:rPr>
          <w:rFonts w:ascii="Times New Roman" w:hAnsi="Times New Roman" w:eastAsia="仿宋_GB2312" w:cs="宋体"/>
          <w:b/>
          <w:bCs/>
          <w:i w:val="0"/>
          <w:caps w:val="0"/>
          <w:color w:val="auto"/>
          <w:spacing w:val="0"/>
          <w:sz w:val="32"/>
          <w:szCs w:val="32"/>
          <w:shd w:val="clear"/>
          <w:lang w:bidi="ar"/>
        </w:rPr>
        <w:t>上海农商银行</w:t>
      </w:r>
      <w:r>
        <w:rPr>
          <w:rFonts w:ascii="Times New Roman" w:hAnsi="Times New Roman" w:eastAsia="仿宋_GB2312" w:cs="宋体"/>
          <w:i w:val="0"/>
          <w:caps w:val="0"/>
          <w:color w:val="auto"/>
          <w:spacing w:val="0"/>
          <w:sz w:val="32"/>
          <w:szCs w:val="32"/>
          <w:shd w:val="clear"/>
          <w:lang w:bidi="ar"/>
        </w:rPr>
        <w:t>以“普惠金融助力百姓美好生活”为使命，秉承“尚德尚善、惠城惠民、至精至勤、共愿共美”的企业文化核心精神，坚持党建引领“底色”，深耕三农金融“本色”，打造科创金融“特色”，构建养老金融“暖色”，赋能社会治理“亮色”，提升绿色转型“成色”，强调人民立场，突出人民主体，聚焦人民关切，做有温度的银行，做有担当的国企，在推进自身高质量发展同时，主动担负社会责任，积极贯彻落实国家重大战略，全力服务上海经济社会发展。</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lang w:bidi="ar"/>
        </w:rPr>
      </w:pPr>
      <w:r>
        <w:rPr>
          <w:rFonts w:hint="default" w:ascii="Times New Roman" w:hAnsi="Times New Roman" w:eastAsia="仿宋_GB2312" w:cs="宋体"/>
          <w:b/>
          <w:bCs/>
          <w:i w:val="0"/>
          <w:caps w:val="0"/>
          <w:color w:val="auto"/>
          <w:spacing w:val="0"/>
          <w:sz w:val="32"/>
          <w:szCs w:val="32"/>
          <w:shd w:val="clear"/>
          <w:lang w:bidi="ar"/>
        </w:rPr>
        <w:t>海通证券</w:t>
      </w:r>
      <w:r>
        <w:rPr>
          <w:rFonts w:hint="default" w:ascii="Times New Roman" w:hAnsi="Times New Roman" w:eastAsia="仿宋_GB2312" w:cs="宋体"/>
          <w:i w:val="0"/>
          <w:caps w:val="0"/>
          <w:color w:val="auto"/>
          <w:spacing w:val="0"/>
          <w:sz w:val="32"/>
          <w:szCs w:val="32"/>
          <w:shd w:val="clear"/>
          <w:lang w:bidi="ar"/>
        </w:rPr>
        <w:t>坚持在稳健合规发展基础上，获得持续的经济回报，为股东及投资者创造价值；提升专业服务能力，借助专业优势，创新产品及服务，为客户创造价值，截至2022年末，公司累计为实体经济（含地方政府债）提供融资总额超过4.4万亿元；注重以人为本，推进员工权益保障、员工培训及发展等，为员工创造价值；推动绿色发展，通过绿色运营、绿色金融等方式，支持“双碳”目标达成，为环境创造价值，2022年实现股权融资金额533亿元，其中为绿色企业实现融资金额78亿元；引导金融活水润泽民企小微、深化“爱在海通”公益品牌、落实乡村振兴战略、促进共同富裕，为社会创造价值。2022-2023年，公司明晟ESG评级连续两年保持A级。</w:t>
      </w:r>
    </w:p>
    <w:p>
      <w:pPr>
        <w:widowControl w:val="0"/>
        <w:numPr>
          <w:ilvl w:val="255"/>
          <w:numId w:val="0"/>
        </w:numPr>
        <w:ind w:firstLine="640"/>
        <w:jc w:val="both"/>
        <w:rPr>
          <w:rFonts w:ascii="Times New Roman" w:hAnsi="Times New Roman" w:eastAsia="仿宋_GB2312" w:cs="宋体"/>
          <w:i w:val="0"/>
          <w:caps w:val="0"/>
          <w:color w:val="auto"/>
          <w:spacing w:val="0"/>
          <w:sz w:val="32"/>
          <w:szCs w:val="32"/>
          <w:shd w:val="clear"/>
          <w:lang w:bidi="ar"/>
        </w:rPr>
      </w:pPr>
      <w:r>
        <w:rPr>
          <w:rFonts w:ascii="Times New Roman" w:hAnsi="Times New Roman" w:eastAsia="仿宋_GB2312" w:cs="宋体"/>
          <w:b/>
          <w:bCs/>
          <w:i w:val="0"/>
          <w:caps w:val="0"/>
          <w:color w:val="auto"/>
          <w:spacing w:val="0"/>
          <w:sz w:val="32"/>
          <w:szCs w:val="32"/>
          <w:shd w:val="clear"/>
          <w:lang w:bidi="ar"/>
        </w:rPr>
        <w:t>中国太保</w:t>
      </w:r>
      <w:r>
        <w:rPr>
          <w:rFonts w:ascii="Times New Roman" w:hAnsi="Times New Roman" w:eastAsia="仿宋_GB2312" w:cs="宋体"/>
          <w:i w:val="0"/>
          <w:caps w:val="0"/>
          <w:color w:val="auto"/>
          <w:spacing w:val="0"/>
          <w:sz w:val="32"/>
          <w:szCs w:val="32"/>
          <w:shd w:val="clear"/>
          <w:lang w:bidi="ar"/>
        </w:rPr>
        <w:t>通过构建ESG管理体系，立足保险本源，发挥负债端和资产端专业优势，为经济和社会实现绿色低碳转型进程提供有效助力。在顶层设计方面，公司把“可持续发展能力更强”纳入公司十四五规划和三年规划战略目标，制定公司ESG专项规划，加强整体管理架构和体系建设；在绿色金融供给方面，公司积极创新绿色保险，稳步开展绿色投资，全面推进绿色运营；在社会责任方面，深化具有太保特色的乡村振兴常态长效机制，做实健养服务能力建设，截至2022年末普惠保险项目服务人数超过1.6亿，截至2023年6月“防贫保”已累计提供保险保障43.11亿元，持续加大消费者权益保护力度；在公司治理方面，深化党建引领，推动国企基因和市场机制的有效融合，打造专业、多元、均衡的高素质董事会团队，不断完善风控一体化建设，打造高水平治理的太保样本。</w:t>
      </w:r>
    </w:p>
    <w:p>
      <w:pPr>
        <w:widowControl w:val="0"/>
        <w:numPr>
          <w:ilvl w:val="255"/>
          <w:numId w:val="0"/>
        </w:numPr>
        <w:ind w:firstLine="643"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ascii="Times New Roman" w:hAnsi="Times New Roman" w:eastAsia="仿宋_GB2312" w:cs="宋体"/>
          <w:b/>
          <w:bCs/>
          <w:i w:val="0"/>
          <w:caps w:val="0"/>
          <w:color w:val="auto"/>
          <w:spacing w:val="0"/>
          <w:sz w:val="32"/>
          <w:szCs w:val="32"/>
          <w:shd w:val="clear"/>
          <w:lang w:bidi="ar"/>
        </w:rPr>
        <w:t>上海银行</w:t>
      </w:r>
      <w:r>
        <w:rPr>
          <w:rFonts w:ascii="Times New Roman" w:hAnsi="Times New Roman" w:eastAsia="仿宋_GB2312" w:cs="宋体"/>
          <w:i w:val="0"/>
          <w:caps w:val="0"/>
          <w:color w:val="auto"/>
          <w:spacing w:val="0"/>
          <w:sz w:val="32"/>
          <w:szCs w:val="32"/>
          <w:shd w:val="clear"/>
          <w:lang w:bidi="ar"/>
        </w:rPr>
        <w:t>深刻把握主责主业，服务实体经济提质增效，拓展普惠金融深度广度，2022年普惠型贷款增长48%；深植绿色理念，持续深化绿色金融服务，助推经济社会发展方式绿色转型，2022年绿色贷款余额增长116%，绿色债券投资余额增长46%；坚持绿色运营，先行先试推进零碳园区、碳普惠机制建设等，当好绿色低碳的实践者、先行者；加大金融服务支持力度，助力巩固脱贫攻坚成果与乡村振兴有效衔接，2022年涉农贷款余额增长25%；加快推进数字化转型，科技赋能提升经营管理质效、满足多样化金融服务需求；坚守合规经营底线，加强消费者权益保护治理，强化反洗钱管理，不断提升反欺诈工作能力。同时，上海银行建立健全ESG风险管理体系，提升ESG风险防范化解能力。</w:t>
      </w:r>
      <w:r>
        <w:rPr>
          <w:rFonts w:hint="default" w:ascii="Times New Roman" w:hAnsi="Times New Roman" w:eastAsia="仿宋_GB2312" w:cs="宋体"/>
          <w:i w:val="0"/>
          <w:caps w:val="0"/>
          <w:color w:val="auto"/>
          <w:spacing w:val="0"/>
          <w:sz w:val="32"/>
          <w:szCs w:val="32"/>
          <w:shd w:val="clear"/>
          <w:lang w:eastAsia="zh-CN" w:bidi="ar"/>
        </w:rPr>
        <w:t>（</w:t>
      </w:r>
      <w:r>
        <w:rPr>
          <w:rFonts w:ascii="Times New Roman" w:hAnsi="Times New Roman" w:eastAsia="仿宋_GB2312" w:cs="宋体"/>
          <w:i w:val="0"/>
          <w:caps w:val="0"/>
          <w:color w:val="auto"/>
          <w:spacing w:val="0"/>
          <w:sz w:val="32"/>
          <w:szCs w:val="32"/>
          <w:shd w:val="clear"/>
          <w:lang w:bidi="ar"/>
        </w:rPr>
        <w:t>国泰君安、申能集团</w:t>
      </w:r>
      <w:r>
        <w:rPr>
          <w:rFonts w:hint="eastAsia" w:ascii="Times New Roman" w:hAnsi="Times New Roman" w:eastAsia="仿宋_GB2312" w:cs="宋体"/>
          <w:i w:val="0"/>
          <w:caps w:val="0"/>
          <w:color w:val="auto"/>
          <w:spacing w:val="0"/>
          <w:sz w:val="32"/>
          <w:szCs w:val="32"/>
          <w:shd w:val="clear"/>
          <w:lang w:eastAsia="zh-CN" w:bidi="ar"/>
        </w:rPr>
        <w:t>、</w:t>
      </w:r>
      <w:r>
        <w:rPr>
          <w:rFonts w:ascii="Times New Roman" w:hAnsi="Times New Roman" w:eastAsia="仿宋_GB2312" w:cs="宋体"/>
          <w:i w:val="0"/>
          <w:caps w:val="0"/>
          <w:color w:val="auto"/>
          <w:spacing w:val="0"/>
          <w:sz w:val="32"/>
          <w:szCs w:val="32"/>
          <w:shd w:val="clear"/>
          <w:lang w:bidi="ar"/>
        </w:rPr>
        <w:t>上海农商银行、海通证券、中国太保、上海银行</w:t>
      </w:r>
      <w:r>
        <w:rPr>
          <w:rFonts w:hint="default" w:ascii="Times New Roman" w:hAnsi="Times New Roman" w:eastAsia="仿宋_GB2312" w:cs="宋体"/>
          <w:i w:val="0"/>
          <w:caps w:val="0"/>
          <w:color w:val="auto"/>
          <w:spacing w:val="0"/>
          <w:sz w:val="32"/>
          <w:szCs w:val="32"/>
          <w:shd w:val="clear"/>
          <w:lang w:eastAsia="zh-CN" w:bidi="ar"/>
        </w:rPr>
        <w:t>）</w:t>
      </w:r>
    </w:p>
    <w:p>
      <w:pPr>
        <w:pStyle w:val="2"/>
        <w:rPr>
          <w:rFonts w:hint="eastAsia"/>
          <w:lang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rPr>
      </w:pPr>
      <w:r>
        <w:rPr>
          <w:rFonts w:hint="eastAsia" w:ascii="Times New Roman" w:hAnsi="Times New Roman" w:eastAsia="华文中宋" w:cs="华文中宋"/>
          <w:color w:val="auto"/>
          <w:sz w:val="36"/>
          <w:szCs w:val="36"/>
          <w:highlight w:val="none"/>
          <w:shd w:val="clear" w:color="auto" w:fill="FFFFFF"/>
          <w:lang w:bidi="ar"/>
        </w:rPr>
        <w:t>隧道股份嘉浏高速打造智慧高速示范样板</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近日，隧道股份城市运营</w:t>
      </w:r>
      <w:r>
        <w:rPr>
          <w:rFonts w:hint="eastAsia" w:ascii="Times New Roman" w:hAnsi="Times New Roman" w:eastAsia="仿宋_GB2312"/>
          <w:color w:val="auto"/>
          <w:sz w:val="32"/>
          <w:szCs w:val="32"/>
          <w:lang w:eastAsia="zh-CN" w:bidi="ar"/>
        </w:rPr>
        <w:t>公司</w:t>
      </w:r>
      <w:r>
        <w:rPr>
          <w:rFonts w:hint="default" w:ascii="Times New Roman" w:hAnsi="Times New Roman" w:eastAsia="仿宋_GB2312"/>
          <w:color w:val="auto"/>
          <w:sz w:val="32"/>
          <w:szCs w:val="32"/>
          <w:lang w:bidi="ar"/>
        </w:rPr>
        <w:t>正式发布G15嘉浏段改扩建工程通车运营月余后的“数字转型成绩单”。在这条由隧道股份城建投资、城建设计集团、上海路桥、城市运营、数字集团以一体化模式联合打造的智慧高速公路中，隧道股份为应对G15嘉浏高速“大交织、大流量、大物流”的交通特点，以数字化赋能高速公路改拓建。依托AI算法、毫米波雷达、激光雷达、边缘计算等一系列软硬件提升，实现了车道级交通流精准管控、突发事件的智慧化快速处置，有效提升设施综合运营管理效率，打造上海智慧高速示范样板。</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嘉浏高速改扩建完工的近一个月期间里，通车总流量达到了428.3万辆，平均每天的车流量为13.4万辆，相较去年同期，增长了49.6%，应急处置到位速度提升约35%，72%的突发事件已通过AI策略系统自动识别报警。</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default" w:ascii="Times New Roman" w:hAnsi="Times New Roman" w:eastAsia="仿宋_GB2312"/>
          <w:color w:val="auto"/>
          <w:sz w:val="32"/>
          <w:szCs w:val="32"/>
          <w:lang w:bidi="ar"/>
        </w:rPr>
        <w:t>隧道股份智慧高速运营管理模式，在大大提升通行车流量的同时，以“车道级管理”促</w:t>
      </w:r>
      <w:r>
        <w:rPr>
          <w:rFonts w:hint="eastAsia" w:ascii="Times New Roman" w:hAnsi="Times New Roman" w:eastAsia="仿宋_GB2312"/>
          <w:color w:val="auto"/>
          <w:sz w:val="32"/>
          <w:szCs w:val="32"/>
          <w:lang w:eastAsia="zh-CN" w:bidi="ar"/>
        </w:rPr>
        <w:t>进</w:t>
      </w:r>
      <w:r>
        <w:rPr>
          <w:rFonts w:hint="default" w:ascii="Times New Roman" w:hAnsi="Times New Roman" w:eastAsia="仿宋_GB2312"/>
          <w:color w:val="auto"/>
          <w:sz w:val="32"/>
          <w:szCs w:val="32"/>
          <w:lang w:bidi="ar"/>
        </w:rPr>
        <w:t>上海进出城门户、交通主干动脉畅通无阻，助力完善国家和区域综合交通运输体系，服务长三角一体化发展战略，促进沿线经济社会发展。</w:t>
      </w:r>
      <w:r>
        <w:rPr>
          <w:rFonts w:hint="eastAsia" w:ascii="Times New Roman" w:hAnsi="Times New Roman" w:eastAsia="仿宋_GB2312"/>
          <w:color w:val="auto"/>
          <w:sz w:val="32"/>
          <w:szCs w:val="32"/>
          <w:lang w:eastAsia="zh-CN" w:bidi="ar"/>
        </w:rPr>
        <w:t>（隧道股份）</w:t>
      </w:r>
    </w:p>
    <w:p>
      <w:pPr>
        <w:pStyle w:val="2"/>
        <w:rPr>
          <w:rFonts w:hint="eastAsia"/>
          <w:lang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第十届中国国际线缆及线材展览会圆满落幕</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default" w:ascii="Times New Roman" w:hAnsi="Times New Roman" w:eastAsia="仿宋_GB2312"/>
          <w:color w:val="auto"/>
          <w:sz w:val="32"/>
          <w:szCs w:val="32"/>
          <w:lang w:bidi="ar"/>
        </w:rPr>
        <w:t>第十届中国国际线缆及线材展览会</w:t>
      </w:r>
      <w:r>
        <w:rPr>
          <w:rFonts w:hint="eastAsia" w:ascii="Times New Roman" w:hAnsi="Times New Roman" w:eastAsia="仿宋_GB2312"/>
          <w:color w:val="auto"/>
          <w:sz w:val="32"/>
          <w:szCs w:val="32"/>
          <w:lang w:bidi="ar"/>
        </w:rPr>
        <w:t>（wire</w:t>
      </w:r>
      <w:r>
        <w:rPr>
          <w:rFonts w:hint="default" w:ascii="Times New Roman" w:hAnsi="Times New Roman" w:eastAsia="仿宋_GB2312"/>
          <w:color w:val="auto"/>
          <w:sz w:val="32"/>
          <w:szCs w:val="32"/>
          <w:lang w:bidi="ar"/>
        </w:rPr>
        <w:t xml:space="preserve"> </w:t>
      </w:r>
      <w:r>
        <w:rPr>
          <w:rFonts w:hint="eastAsia" w:ascii="Times New Roman" w:hAnsi="Times New Roman" w:eastAsia="仿宋_GB2312"/>
          <w:color w:val="auto"/>
          <w:sz w:val="32"/>
          <w:szCs w:val="32"/>
          <w:lang w:bidi="ar"/>
        </w:rPr>
        <w:t>China</w:t>
      </w:r>
      <w:r>
        <w:rPr>
          <w:rFonts w:hint="default" w:ascii="Times New Roman" w:hAnsi="Times New Roman" w:eastAsia="仿宋_GB2312"/>
          <w:color w:val="auto"/>
          <w:sz w:val="32"/>
          <w:szCs w:val="32"/>
          <w:lang w:bidi="ar"/>
        </w:rPr>
        <w:t xml:space="preserve"> 2023</w:t>
      </w:r>
      <w:r>
        <w:rPr>
          <w:rFonts w:hint="eastAsia" w:ascii="Times New Roman" w:hAnsi="Times New Roman" w:eastAsia="仿宋_GB2312"/>
          <w:color w:val="auto"/>
          <w:sz w:val="32"/>
          <w:szCs w:val="32"/>
          <w:lang w:bidi="ar"/>
        </w:rPr>
        <w:t>）于</w:t>
      </w:r>
      <w:r>
        <w:rPr>
          <w:rFonts w:hint="eastAsia" w:ascii="Times New Roman" w:hAnsi="Times New Roman" w:eastAsia="仿宋_GB2312"/>
          <w:color w:val="auto"/>
          <w:sz w:val="32"/>
          <w:szCs w:val="32"/>
          <w:lang w:eastAsia="zh-CN" w:bidi="ar"/>
        </w:rPr>
        <w:t>近</w:t>
      </w:r>
      <w:r>
        <w:rPr>
          <w:rFonts w:hint="default" w:ascii="Times New Roman" w:hAnsi="Times New Roman" w:eastAsia="仿宋_GB2312"/>
          <w:color w:val="auto"/>
          <w:sz w:val="32"/>
          <w:szCs w:val="32"/>
          <w:lang w:bidi="ar"/>
        </w:rPr>
        <w:t>日圆满落幕</w:t>
      </w:r>
      <w:r>
        <w:rPr>
          <w:rFonts w:hint="eastAsia" w:ascii="Times New Roman" w:hAnsi="Times New Roman" w:eastAsia="仿宋_GB2312"/>
          <w:color w:val="auto"/>
          <w:sz w:val="32"/>
          <w:szCs w:val="32"/>
          <w:lang w:bidi="ar"/>
        </w:rPr>
        <w:t>。</w:t>
      </w:r>
      <w:r>
        <w:rPr>
          <w:rFonts w:hint="default" w:ascii="Times New Roman" w:hAnsi="Times New Roman" w:eastAsia="仿宋_GB2312"/>
          <w:color w:val="auto"/>
          <w:sz w:val="32"/>
          <w:szCs w:val="32"/>
          <w:lang w:bidi="ar"/>
        </w:rPr>
        <w:t>作为全球知名国际品牌展会</w:t>
      </w:r>
      <w:r>
        <w:rPr>
          <w:rFonts w:hint="eastAsia" w:ascii="Times New Roman" w:hAnsi="Times New Roman" w:eastAsia="仿宋_GB2312"/>
          <w:color w:val="auto"/>
          <w:sz w:val="32"/>
          <w:szCs w:val="32"/>
          <w:lang w:bidi="ar"/>
        </w:rPr>
        <w:t>，</w:t>
      </w:r>
      <w:r>
        <w:rPr>
          <w:rFonts w:hint="default" w:ascii="Times New Roman" w:hAnsi="Times New Roman" w:eastAsia="仿宋_GB2312"/>
          <w:color w:val="auto"/>
          <w:sz w:val="32"/>
          <w:szCs w:val="32"/>
          <w:lang w:bidi="ar"/>
        </w:rPr>
        <w:t>中国国际线缆及线材展览会是线缆行业的重要风向标</w:t>
      </w:r>
      <w:r>
        <w:rPr>
          <w:rFonts w:hint="eastAsia" w:ascii="Times New Roman" w:hAnsi="Times New Roman" w:eastAsia="仿宋_GB2312"/>
          <w:color w:val="auto"/>
          <w:sz w:val="32"/>
          <w:szCs w:val="32"/>
          <w:lang w:bidi="ar"/>
        </w:rPr>
        <w:t>。</w:t>
      </w:r>
      <w:r>
        <w:rPr>
          <w:rFonts w:hint="default" w:ascii="Times New Roman" w:hAnsi="Times New Roman" w:eastAsia="仿宋_GB2312"/>
          <w:color w:val="auto"/>
          <w:sz w:val="32"/>
          <w:szCs w:val="32"/>
          <w:lang w:bidi="ar"/>
        </w:rPr>
        <w:t>本届wire China由申能集团旗下上海电缆研究所主办</w:t>
      </w:r>
      <w:r>
        <w:rPr>
          <w:rFonts w:hint="eastAsia" w:ascii="Times New Roman" w:hAnsi="Times New Roman" w:eastAsia="仿宋_GB2312"/>
          <w:color w:val="auto"/>
          <w:sz w:val="32"/>
          <w:szCs w:val="32"/>
          <w:lang w:bidi="ar"/>
        </w:rPr>
        <w:t>，</w:t>
      </w:r>
      <w:r>
        <w:rPr>
          <w:rFonts w:hint="default" w:ascii="Times New Roman" w:hAnsi="Times New Roman" w:eastAsia="仿宋_GB2312"/>
          <w:color w:val="auto"/>
          <w:sz w:val="32"/>
          <w:szCs w:val="32"/>
          <w:lang w:bidi="ar"/>
        </w:rPr>
        <w:t>展出面积达57,500平方米</w:t>
      </w:r>
      <w:r>
        <w:rPr>
          <w:rFonts w:hint="eastAsia" w:ascii="Times New Roman" w:hAnsi="Times New Roman" w:eastAsia="仿宋_GB2312"/>
          <w:color w:val="auto"/>
          <w:sz w:val="32"/>
          <w:szCs w:val="32"/>
          <w:lang w:bidi="ar"/>
        </w:rPr>
        <w:t>，</w:t>
      </w:r>
      <w:r>
        <w:rPr>
          <w:rFonts w:hint="default" w:ascii="Times New Roman" w:hAnsi="Times New Roman" w:eastAsia="仿宋_GB2312"/>
          <w:color w:val="auto"/>
          <w:sz w:val="32"/>
          <w:szCs w:val="32"/>
          <w:lang w:bidi="ar"/>
        </w:rPr>
        <w:t>覆盖上海新国际博览中心5大展馆</w:t>
      </w:r>
      <w:r>
        <w:rPr>
          <w:rFonts w:hint="eastAsia" w:ascii="Times New Roman" w:hAnsi="Times New Roman" w:eastAsia="仿宋_GB2312"/>
          <w:color w:val="auto"/>
          <w:sz w:val="32"/>
          <w:szCs w:val="32"/>
          <w:lang w:bidi="ar"/>
        </w:rPr>
        <w:t>，</w:t>
      </w:r>
      <w:r>
        <w:rPr>
          <w:rFonts w:hint="default" w:ascii="Times New Roman" w:hAnsi="Times New Roman" w:eastAsia="仿宋_GB2312"/>
          <w:color w:val="auto"/>
          <w:sz w:val="32"/>
          <w:szCs w:val="32"/>
          <w:lang w:bidi="ar"/>
        </w:rPr>
        <w:t>来自全球20多个国家和地区的900余家海内外参展商</w:t>
      </w:r>
      <w:r>
        <w:rPr>
          <w:rFonts w:hint="eastAsia" w:ascii="Times New Roman" w:hAnsi="Times New Roman" w:eastAsia="仿宋_GB2312"/>
          <w:color w:val="auto"/>
          <w:sz w:val="32"/>
          <w:szCs w:val="32"/>
          <w:lang w:eastAsia="zh-CN" w:bidi="ar"/>
        </w:rPr>
        <w:t>。</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wire China 2023全方位展示了线缆行业最新发展趋势与创新技术成果。展会分为“数智赋能创新装备”“绿色低碳解决方案”“精准测控技术”“品质线缆线材”“辅助加工配套”五大主题路线。据悉，本届展会专业观众总数较2018年增长了30.83%，来自96个国家和地区的专业观众莅临现场</w:t>
      </w:r>
      <w:r>
        <w:rPr>
          <w:rFonts w:hint="eastAsia" w:ascii="Times New Roman" w:hAnsi="Times New Roman" w:eastAsia="仿宋_GB2312"/>
          <w:color w:val="auto"/>
          <w:sz w:val="32"/>
          <w:szCs w:val="32"/>
          <w:lang w:eastAsia="zh-CN" w:bidi="ar"/>
        </w:rPr>
        <w:t>。</w:t>
      </w:r>
      <w:r>
        <w:rPr>
          <w:rFonts w:hint="default" w:ascii="Times New Roman" w:hAnsi="Times New Roman" w:eastAsia="仿宋_GB2312"/>
          <w:color w:val="auto"/>
          <w:sz w:val="32"/>
          <w:szCs w:val="32"/>
          <w:lang w:bidi="ar"/>
        </w:rPr>
        <w:t>观众在沉浸式逛展中，近距离体验创新产品、技术，与行业专家面对面交流，畅享精准高效之旅。</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上海电缆研究所携旗下国缆检测、凯波特材、赛克力光电参展，充分展现了申能线缆产业的科技硬实力。比如，上海市专精特新企业凯波特材在现场带来行业内首家生产的亮点产品——硅烷交联低烟无卤料；作为目前国际上唯一一家同时具备光纤（缆）测试技术及设备、通信电缆测试技术及设备研究能力的企业，赛克力光电可为客户提供专业定制的光电缆测试解决方案。</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default" w:ascii="Times New Roman" w:hAnsi="Times New Roman" w:eastAsia="仿宋_GB2312"/>
          <w:color w:val="auto"/>
          <w:sz w:val="32"/>
          <w:szCs w:val="32"/>
          <w:lang w:bidi="ar"/>
        </w:rPr>
        <w:t>展会同期，聚焦线缆行业机遇与挑战、趋势与未来，</w:t>
      </w:r>
      <w:r>
        <w:rPr>
          <w:rFonts w:hint="eastAsia" w:ascii="Times New Roman" w:hAnsi="Times New Roman" w:eastAsia="仿宋_GB2312"/>
          <w:color w:val="auto"/>
          <w:sz w:val="32"/>
          <w:szCs w:val="32"/>
          <w:lang w:eastAsia="zh-CN" w:bidi="ar"/>
        </w:rPr>
        <w:t>举办了</w:t>
      </w:r>
      <w:r>
        <w:rPr>
          <w:rFonts w:hint="default" w:ascii="Times New Roman" w:hAnsi="Times New Roman" w:eastAsia="仿宋_GB2312"/>
          <w:color w:val="auto"/>
          <w:sz w:val="32"/>
          <w:szCs w:val="32"/>
          <w:lang w:bidi="ar"/>
        </w:rPr>
        <w:t>2大行业会议</w:t>
      </w:r>
      <w:r>
        <w:rPr>
          <w:rFonts w:hint="eastAsia" w:ascii="Times New Roman" w:hAnsi="Times New Roman" w:eastAsia="仿宋_GB2312"/>
          <w:color w:val="auto"/>
          <w:sz w:val="32"/>
          <w:szCs w:val="32"/>
          <w:lang w:eastAsia="zh-CN" w:bidi="ar"/>
        </w:rPr>
        <w:t>、</w:t>
      </w:r>
      <w:r>
        <w:rPr>
          <w:rFonts w:hint="default" w:ascii="Times New Roman" w:hAnsi="Times New Roman" w:eastAsia="仿宋_GB2312"/>
          <w:color w:val="auto"/>
          <w:sz w:val="32"/>
          <w:szCs w:val="32"/>
          <w:lang w:bidi="ar"/>
        </w:rPr>
        <w:t>4场主题论坛</w:t>
      </w:r>
      <w:r>
        <w:rPr>
          <w:rFonts w:hint="eastAsia" w:ascii="Times New Roman" w:hAnsi="Times New Roman" w:eastAsia="仿宋_GB2312"/>
          <w:color w:val="auto"/>
          <w:sz w:val="32"/>
          <w:szCs w:val="32"/>
          <w:lang w:eastAsia="zh-CN" w:bidi="ar"/>
        </w:rPr>
        <w:t>、</w:t>
      </w:r>
      <w:r>
        <w:rPr>
          <w:rFonts w:hint="eastAsia" w:ascii="Times New Roman" w:hAnsi="Times New Roman" w:eastAsia="仿宋_GB2312"/>
          <w:color w:val="auto"/>
          <w:sz w:val="32"/>
          <w:szCs w:val="32"/>
          <w:lang w:val="en-US" w:eastAsia="zh-CN" w:bidi="ar"/>
        </w:rPr>
        <w:t>40余场</w:t>
      </w:r>
      <w:r>
        <w:rPr>
          <w:rFonts w:hint="default" w:ascii="Times New Roman" w:hAnsi="Times New Roman" w:eastAsia="仿宋_GB2312"/>
          <w:color w:val="auto"/>
          <w:sz w:val="32"/>
          <w:szCs w:val="32"/>
          <w:lang w:bidi="ar"/>
        </w:rPr>
        <w:t>主题分享，成为线缆行业交流思想、探索合作的盛会。本届展会，主办方与政府机构、行业协会、金融机构通力合作，推出数十场专业论坛</w:t>
      </w:r>
      <w:r>
        <w:rPr>
          <w:rFonts w:hint="eastAsia" w:ascii="Times New Roman" w:hAnsi="Times New Roman" w:eastAsia="仿宋_GB2312"/>
          <w:color w:val="auto"/>
          <w:sz w:val="32"/>
          <w:szCs w:val="32"/>
          <w:lang w:eastAsia="zh-CN" w:bidi="ar"/>
        </w:rPr>
        <w:t>和</w:t>
      </w:r>
      <w:r>
        <w:rPr>
          <w:rFonts w:hint="default" w:ascii="Times New Roman" w:hAnsi="Times New Roman" w:eastAsia="仿宋_GB2312"/>
          <w:color w:val="auto"/>
          <w:sz w:val="32"/>
          <w:szCs w:val="32"/>
          <w:lang w:bidi="ar"/>
        </w:rPr>
        <w:t>会议，为畅通产业良性循环与智慧发展新路径、持续推动我国线缆产业高质量发展贡献力量。</w:t>
      </w:r>
      <w:r>
        <w:rPr>
          <w:rFonts w:hint="eastAsia" w:ascii="Times New Roman" w:hAnsi="Times New Roman" w:eastAsia="仿宋_GB2312"/>
          <w:color w:val="auto"/>
          <w:sz w:val="32"/>
          <w:szCs w:val="32"/>
          <w:lang w:eastAsia="zh-CN" w:bidi="ar"/>
        </w:rPr>
        <w:t>（申能集团）</w:t>
      </w:r>
    </w:p>
    <w:p>
      <w:pPr>
        <w:pStyle w:val="2"/>
        <w:rPr>
          <w:rFonts w:hint="eastAsia" w:ascii="Times New Roman" w:hAnsi="Times New Roman" w:eastAsia="仿宋_GB2312"/>
          <w:color w:val="auto"/>
          <w:sz w:val="32"/>
          <w:szCs w:val="32"/>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bidi="ar"/>
        </w:rPr>
        <w:t>上汽新能源和海外销量创新高</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8月上汽集团销售整车42.3万辆，继续保持行业领先；其中，新能源汽车销售9.2万辆，海外市场销售10.3万辆，均创出年内新高，创新转型步伐持续加快。</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今年1-8月，上汽新能源汽车累计销售55.5万辆，销量呈现“月月新高”态势。8月份，上汽新能源汽车销售9.2万辆，自1月份以来保持“环比连涨”，第三季度将全力冲刺“月销10万辆”的目标。在海外市场，上汽继续一马当先。1-8月份，上汽在海外市场累计销售73万辆，同比增长26.4%，在中国汽车企业中持续领跑。上汽自主品牌MG在欧洲市场延续亮眼表现，前7个月累计销售13.5万辆，同比增长148%，在英国、德国、法国、意大利、西班牙、瑞典、爱尔兰等发达国家新车销量排行榜上名列前茅。</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default" w:ascii="Times New Roman" w:hAnsi="Times New Roman" w:eastAsia="仿宋_GB2312"/>
          <w:color w:val="auto"/>
          <w:sz w:val="32"/>
          <w:szCs w:val="32"/>
          <w:lang w:bidi="ar"/>
        </w:rPr>
        <w:t>在继续巩固国内领先位置的同时，上汽将不断扩大在海外市场的先发优势，抓住“时间窗口”机遇，加快打造“叫好又叫座”的全球产品。预计今年，欧洲将晋级为上汽首个“20万辆级”海外区域市场。</w:t>
      </w:r>
      <w:r>
        <w:rPr>
          <w:rFonts w:hint="eastAsia" w:ascii="Times New Roman" w:hAnsi="Times New Roman" w:eastAsia="仿宋_GB2312"/>
          <w:color w:val="auto"/>
          <w:sz w:val="32"/>
          <w:szCs w:val="32"/>
          <w:lang w:eastAsia="zh-CN" w:bidi="ar"/>
        </w:rPr>
        <w:t>（上汽集团）</w:t>
      </w:r>
    </w:p>
    <w:p>
      <w:pPr>
        <w:pStyle w:val="2"/>
        <w:rPr>
          <w:rFonts w:hint="eastAsia" w:ascii="Times New Roman" w:hAnsi="Times New Roman" w:eastAsia="仿宋_GB2312"/>
          <w:color w:val="auto"/>
          <w:sz w:val="32"/>
          <w:szCs w:val="32"/>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机场集团助力上海国际航空枢纽能级持续提升</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今年以来，上海航空运输市场呈现出较好的发展势头。1至8月，浦东机场和虹桥机场共完成航班起降44.8万架次，旅客吞吐量6128.7万人次，货邮吞吐量239.3万吨，分别恢复至2019年同期的86%、75%和93%。</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上海航空市场有两个明显特点：</w:t>
      </w:r>
      <w:r>
        <w:rPr>
          <w:rFonts w:hint="eastAsia" w:ascii="Times New Roman" w:hAnsi="Times New Roman" w:eastAsia="仿宋_GB2312"/>
          <w:b/>
          <w:bCs/>
          <w:color w:val="auto"/>
          <w:sz w:val="32"/>
          <w:szCs w:val="32"/>
          <w:lang w:bidi="ar"/>
        </w:rPr>
        <w:t>航空客货运输恢复逐月向好</w:t>
      </w:r>
      <w:r>
        <w:rPr>
          <w:rFonts w:hint="eastAsia" w:ascii="Times New Roman" w:hAnsi="Times New Roman" w:eastAsia="仿宋_GB2312"/>
          <w:color w:val="auto"/>
          <w:sz w:val="32"/>
          <w:szCs w:val="32"/>
          <w:lang w:bidi="ar"/>
        </w:rPr>
        <w:t>，特别是7月份进入暑运后，运量加速恢复。暑运期间，两场日均航班起降量和日均旅客吞吐量环比6月份分别增长了7%和10%。</w:t>
      </w:r>
      <w:r>
        <w:rPr>
          <w:rFonts w:hint="eastAsia" w:ascii="Times New Roman" w:hAnsi="Times New Roman" w:eastAsia="仿宋_GB2312"/>
          <w:b/>
          <w:bCs/>
          <w:color w:val="auto"/>
          <w:sz w:val="32"/>
          <w:szCs w:val="32"/>
          <w:lang w:bidi="ar"/>
        </w:rPr>
        <w:t>境内客运市场恢复好于出入境市场</w:t>
      </w:r>
      <w:r>
        <w:rPr>
          <w:rFonts w:hint="eastAsia" w:ascii="Times New Roman" w:hAnsi="Times New Roman" w:eastAsia="仿宋_GB2312"/>
          <w:color w:val="auto"/>
          <w:sz w:val="32"/>
          <w:szCs w:val="32"/>
          <w:lang w:bidi="ar"/>
        </w:rPr>
        <w:t>。8月境内航班起降量和旅客吞吐量分别恢复至2019年118%和108%，都超过了2019年同期水平。8月上海机场出入境航班量恢复至2019年的69%，明显好于年初水平。</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olor w:val="auto"/>
          <w:sz w:val="32"/>
          <w:szCs w:val="32"/>
          <w:lang w:bidi="ar"/>
        </w:rPr>
      </w:pPr>
      <w:r>
        <w:rPr>
          <w:rFonts w:hint="eastAsia" w:ascii="Times New Roman" w:hAnsi="Times New Roman" w:eastAsia="仿宋_GB2312"/>
          <w:color w:val="auto"/>
          <w:sz w:val="32"/>
          <w:szCs w:val="32"/>
          <w:lang w:bidi="ar"/>
        </w:rPr>
        <w:t>在快速恢复境内外航线航班的同时，机场集团把提升上海国际航空枢纽能级摆在重要位置，在市委市政府和民航局的大力支持下，与联检单位、航空公司等共同努力，采取多方面措施，取得明显效果：</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olor w:val="auto"/>
          <w:sz w:val="32"/>
          <w:szCs w:val="32"/>
          <w:lang w:bidi="ar"/>
        </w:rPr>
      </w:pPr>
      <w:r>
        <w:rPr>
          <w:rFonts w:hint="eastAsia" w:ascii="Times New Roman" w:hAnsi="Times New Roman" w:eastAsia="仿宋_GB2312"/>
          <w:b/>
          <w:bCs/>
          <w:color w:val="auto"/>
          <w:sz w:val="32"/>
          <w:szCs w:val="32"/>
          <w:lang w:bidi="ar"/>
        </w:rPr>
        <w:t>快速恢复两个机场出入境航班保障能力</w:t>
      </w:r>
      <w:r>
        <w:rPr>
          <w:rFonts w:hint="eastAsia" w:ascii="Times New Roman" w:hAnsi="Times New Roman" w:eastAsia="仿宋_GB2312"/>
          <w:color w:val="auto"/>
          <w:sz w:val="32"/>
          <w:szCs w:val="32"/>
          <w:lang w:bidi="ar"/>
        </w:rPr>
        <w:t>。年初，虹桥机场快速恢复了出入境功能，浦东机场入境航班恢复了分楼运作，两场出入境流程恢复常态。</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olor w:val="auto"/>
          <w:sz w:val="32"/>
          <w:szCs w:val="32"/>
          <w:lang w:bidi="ar"/>
        </w:rPr>
      </w:pPr>
      <w:r>
        <w:rPr>
          <w:rFonts w:hint="eastAsia" w:ascii="Times New Roman" w:hAnsi="Times New Roman" w:eastAsia="仿宋_GB2312"/>
          <w:b/>
          <w:bCs/>
          <w:color w:val="auto"/>
          <w:sz w:val="32"/>
          <w:szCs w:val="32"/>
          <w:lang w:bidi="ar"/>
        </w:rPr>
        <w:t>快速恢复浦东机场国际中转功能</w:t>
      </w:r>
      <w:r>
        <w:rPr>
          <w:rFonts w:hint="eastAsia" w:ascii="Times New Roman" w:hAnsi="Times New Roman" w:eastAsia="仿宋_GB2312"/>
          <w:color w:val="auto"/>
          <w:sz w:val="32"/>
          <w:szCs w:val="32"/>
          <w:lang w:bidi="ar"/>
        </w:rPr>
        <w:t>，为航空公司开展国际通程联运奠定了基础。比如，东航在全面恢复浦东机场的中转流程后，积极与天合联盟多个合作伙伴开展通程联运业务。</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olor w:val="auto"/>
          <w:sz w:val="32"/>
          <w:szCs w:val="32"/>
          <w:lang w:bidi="ar"/>
        </w:rPr>
      </w:pPr>
      <w:r>
        <w:rPr>
          <w:rFonts w:hint="default" w:ascii="Times New Roman" w:hAnsi="Times New Roman" w:eastAsia="仿宋_GB2312"/>
          <w:b/>
          <w:bCs/>
          <w:color w:val="auto"/>
          <w:sz w:val="32"/>
          <w:szCs w:val="32"/>
          <w:lang w:bidi="ar"/>
        </w:rPr>
        <w:t>积极将航空服务延伸至长三角主要城市</w:t>
      </w:r>
      <w:r>
        <w:rPr>
          <w:rFonts w:hint="default" w:ascii="Times New Roman" w:hAnsi="Times New Roman" w:eastAsia="仿宋_GB2312"/>
          <w:color w:val="auto"/>
          <w:sz w:val="32"/>
          <w:szCs w:val="32"/>
          <w:lang w:bidi="ar"/>
        </w:rPr>
        <w:t>。今年3月28日正式投运了上海机场与东航物流、昆山综合保税区共同建设的国际空港昆山货站；5月19日启用了与苏州工业园区共同建设的上海机场苏州城市航站楼。长三角城航楼和货站的建设，为所在地区航空旅客出行和货物运输提供了更加便捷高效的服务。</w:t>
      </w:r>
    </w:p>
    <w:p>
      <w:pPr>
        <w:keepNext w:val="0"/>
        <w:keepLines w:val="0"/>
        <w:pageBreakBefore w:val="0"/>
        <w:widowControl w:val="0"/>
        <w:numPr>
          <w:ilvl w:val="255"/>
          <w:numId w:val="0"/>
        </w:numPr>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olor w:val="auto"/>
          <w:sz w:val="32"/>
          <w:szCs w:val="32"/>
          <w:lang w:eastAsia="zh-CN" w:bidi="ar"/>
        </w:rPr>
      </w:pPr>
      <w:r>
        <w:rPr>
          <w:rFonts w:hint="default" w:ascii="Times New Roman" w:hAnsi="Times New Roman" w:eastAsia="仿宋_GB2312"/>
          <w:b/>
          <w:bCs/>
          <w:color w:val="auto"/>
          <w:sz w:val="32"/>
          <w:szCs w:val="32"/>
          <w:lang w:bidi="ar"/>
        </w:rPr>
        <w:t>积极提升上海国际航空枢纽能级</w:t>
      </w:r>
      <w:r>
        <w:rPr>
          <w:rFonts w:hint="default" w:ascii="Times New Roman" w:hAnsi="Times New Roman" w:eastAsia="仿宋_GB2312"/>
          <w:color w:val="auto"/>
          <w:sz w:val="32"/>
          <w:szCs w:val="32"/>
          <w:lang w:bidi="ar"/>
        </w:rPr>
        <w:t>。近年来，上海机场持续加大投入，地面保障资源得到改善。经过容量评估，今年6月份民航局批准上海两场航班高峰小时容量标准提升，这意味着上海机场可以飞比2019年更多的航线航班。此外，机场集团还积极吸引国内外航司在上海开辟新的国际通航点，增强枢纽网络的通达性。</w:t>
      </w:r>
      <w:r>
        <w:rPr>
          <w:rFonts w:hint="eastAsia" w:ascii="Times New Roman" w:hAnsi="Times New Roman" w:eastAsia="仿宋_GB2312"/>
          <w:color w:val="auto"/>
          <w:sz w:val="32"/>
          <w:szCs w:val="32"/>
          <w:lang w:eastAsia="zh-CN" w:bidi="ar"/>
        </w:rPr>
        <w:t>（机场集团）</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olor w:val="auto"/>
          <w:sz w:val="32"/>
          <w:szCs w:val="32"/>
          <w:lang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参与1800年历史喀什莫尔寺遗址保护开发建设</w:t>
      </w:r>
    </w:p>
    <w:p>
      <w:pPr>
        <w:widowControl w:val="0"/>
        <w:numPr>
          <w:ilvl w:val="255"/>
          <w:numId w:val="0"/>
        </w:numPr>
        <w:jc w:val="center"/>
        <w:rPr>
          <w:rFonts w:hint="default" w:ascii="Times New Roman" w:hAnsi="Times New Roman" w:eastAsia="华文中宋" w:cs="华文中宋"/>
          <w:color w:val="auto"/>
          <w:sz w:val="36"/>
          <w:szCs w:val="36"/>
          <w:highlight w:val="none"/>
          <w:shd w:val="clear" w:color="auto" w:fill="FFFFFF"/>
          <w:lang w:bidi="ar"/>
        </w:rPr>
      </w:pPr>
      <w:r>
        <w:rPr>
          <w:rFonts w:hint="eastAsia" w:ascii="Times New Roman" w:hAnsi="Times New Roman" w:eastAsia="华文中宋" w:cs="华文中宋"/>
          <w:color w:val="auto"/>
          <w:sz w:val="36"/>
          <w:szCs w:val="36"/>
          <w:highlight w:val="none"/>
          <w:shd w:val="clear" w:color="auto" w:fill="FFFFFF"/>
          <w:lang w:bidi="ar"/>
        </w:rPr>
        <w:t>上海建工助力“文化润疆”</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由上海建工园林集团负责整体规划、设计、施工的新疆喀什莫尔寺考古遗址保护开发建设项目，寓意各民族团结一心，被比喻为“一带一路文化会客厅”。园林集团在文物保护的基础上，让1800年历史的莫尔寺“活化”、让历史“说话”，充分彰显蕴含其中的中华民族文化精神、文化胸怀、文化自信，以文旅产业发展带动周边整体提升。</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上海建工园林集团始终积极投身边疆民族地区建设工作，近期，以“新疆喀什莫尔寺考古遗址保护与利用工程”“西藏日喀则上海援藏干部公寓综合环境改善工程”等为抓手，在做好文物和文化遗产保护利用工作的同时，拉近内地和边疆的情感联系与时空距离，携手当地实现高质量发展。</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莫尔寺庙考古遗址公园项目位于新疆喀什的莫尔寺遗址，距今已有1800年历史，是中国最西部佛教遗址之一，也是佛教文化在丝绸之路喀什地区盛行的有力见证，2001年被列为第五批全国重点文物保护单位。</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olor w:val="auto"/>
          <w:sz w:val="32"/>
          <w:szCs w:val="32"/>
          <w:lang w:bidi="ar"/>
        </w:rPr>
      </w:pPr>
      <w:r>
        <w:rPr>
          <w:rFonts w:hint="default" w:ascii="Times New Roman" w:hAnsi="Times New Roman" w:eastAsia="仿宋_GB2312"/>
          <w:color w:val="auto"/>
          <w:sz w:val="32"/>
          <w:szCs w:val="32"/>
          <w:lang w:bidi="ar"/>
        </w:rPr>
        <w:t>莫尔寺遗址片区规划和建设工作启动于2020年9月，由喀什地委、喀什市委、深圳和上海两地对口援疆工作前方指挥部共同发起，目前正在开展莫尔寺遗址保护与利用工程，由上海建工园林集团以及旗下上海市园林设计研究总院负责实施，莫尔寺遗址在文物保护的基础上，同步编制考古遗址公园总体规划。</w:t>
      </w:r>
    </w:p>
    <w:p>
      <w:pPr>
        <w:keepNext w:val="0"/>
        <w:keepLines w:val="0"/>
        <w:pageBreakBefore w:val="0"/>
        <w:widowControl w:val="0"/>
        <w:numPr>
          <w:ilvl w:val="255"/>
          <w:numId w:val="0"/>
        </w:numPr>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olor w:val="auto"/>
          <w:sz w:val="32"/>
          <w:szCs w:val="32"/>
          <w:lang w:eastAsia="zh-CN" w:bidi="ar"/>
        </w:rPr>
      </w:pPr>
      <w:r>
        <w:rPr>
          <w:rFonts w:hint="default" w:ascii="Times New Roman" w:hAnsi="Times New Roman" w:eastAsia="仿宋_GB2312"/>
          <w:color w:val="auto"/>
          <w:sz w:val="32"/>
          <w:szCs w:val="32"/>
          <w:lang w:bidi="ar"/>
        </w:rPr>
        <w:t>莫尔寺考古遗址公园项目规划总面积约349公顷，重点建设区域面积约154公顷，近期建设区域面积约60公顷，提出“一轴一心四区”的功能分区，结合考古遗址公园对空间的刚性要求，保护、修复、利用并举，描绘遗址未来画卷，并以文旅产业发展带动周边区域乃至喀什地区的整体提升。</w:t>
      </w:r>
      <w:r>
        <w:rPr>
          <w:rFonts w:hint="eastAsia" w:ascii="Times New Roman" w:hAnsi="Times New Roman" w:eastAsia="仿宋_GB2312"/>
          <w:color w:val="auto"/>
          <w:sz w:val="32"/>
          <w:szCs w:val="32"/>
          <w:lang w:eastAsia="zh-CN" w:bidi="ar"/>
        </w:rPr>
        <w:t>（上海建工）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808D1"/>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D6433"/>
    <w:rsid w:val="33983728"/>
    <w:rsid w:val="33A34936"/>
    <w:rsid w:val="33D5E67C"/>
    <w:rsid w:val="33D91377"/>
    <w:rsid w:val="33E77882"/>
    <w:rsid w:val="33ED0545"/>
    <w:rsid w:val="33F1223B"/>
    <w:rsid w:val="33F5325C"/>
    <w:rsid w:val="33FD1B1D"/>
    <w:rsid w:val="34071D68"/>
    <w:rsid w:val="342224D8"/>
    <w:rsid w:val="343B70D4"/>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51</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2022-12-31T01:47:00Z</dcterms:created>
  <dc:creator>user</dc:creator>
  <cp:lastModifiedBy>WPS_1622794468</cp:lastModifiedBy>
  <cp:lastPrinted>2023-09-21T06:39:00Z</cp:lastPrinted>
  <dcterms:modified xsi:type="dcterms:W3CDTF">2023-09-25T01:01:25Z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73E79B24A7AD582FD9A10B65289AD1FA</vt:lpwstr>
  </property>
</Properties>
</file>