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Monotype Corsiva" w:hAnsi="Monotype Corsiva" w:eastAsia="方正舒体"/>
          <w:b/>
          <w:sz w:val="36"/>
          <w:szCs w:val="36"/>
        </w:rPr>
      </w:pPr>
      <w:bookmarkStart w:id="0" w:name="_GoBack"/>
      <w:bookmarkEnd w:id="0"/>
      <w:r>
        <w:rPr>
          <w:rFonts w:hint="eastAsia" w:ascii="华文行楷" w:eastAsia="华文行楷"/>
          <w:color w:val="FF0000"/>
          <w:spacing w:val="-60"/>
          <w:sz w:val="180"/>
          <w:szCs w:val="180"/>
        </w:rPr>
        <w:t>上海国资</w:t>
      </w:r>
    </w:p>
    <w:p>
      <w:pPr>
        <w:keepNext w:val="0"/>
        <w:keepLines w:val="0"/>
        <w:pageBreakBefore w:val="0"/>
        <w:widowControl w:val="0"/>
        <w:kinsoku/>
        <w:wordWrap/>
        <w:overflowPunct/>
        <w:topLinePunct w:val="0"/>
        <w:autoSpaceDE/>
        <w:autoSpaceDN/>
        <w:bidi w:val="0"/>
        <w:adjustRightInd/>
        <w:snapToGrid/>
        <w:spacing w:line="480" w:lineRule="exact"/>
        <w:ind w:right="-101" w:rightChars="-42"/>
        <w:jc w:val="center"/>
        <w:textAlignment w:val="auto"/>
        <w:rPr>
          <w:b/>
          <w:sz w:val="32"/>
        </w:rPr>
      </w:pPr>
      <w:r>
        <w:rPr>
          <w:rFonts w:hint="eastAsia"/>
          <w:b/>
          <w:sz w:val="32"/>
        </w:rPr>
        <w:t>第</w:t>
      </w:r>
      <w:r>
        <w:rPr>
          <w:rFonts w:hint="eastAsia" w:ascii="Times New Roman" w:hAnsi="Times New Roman" w:cs="Times New Roman"/>
          <w:b w:val="0"/>
          <w:bCs/>
          <w:sz w:val="32"/>
          <w:lang w:val="en-US" w:eastAsia="zh-CN"/>
        </w:rPr>
        <w:t>37</w:t>
      </w:r>
      <w:r>
        <w:rPr>
          <w:rFonts w:hint="eastAsia"/>
          <w:b/>
          <w:sz w:val="32"/>
        </w:rPr>
        <w:t>期</w:t>
      </w:r>
    </w:p>
    <w:p>
      <w:pPr>
        <w:keepNext w:val="0"/>
        <w:keepLines w:val="0"/>
        <w:pageBreakBefore w:val="0"/>
        <w:widowControl w:val="0"/>
        <w:kinsoku/>
        <w:wordWrap/>
        <w:overflowPunct/>
        <w:topLinePunct w:val="0"/>
        <w:autoSpaceDE/>
        <w:autoSpaceDN/>
        <w:bidi w:val="0"/>
        <w:adjustRightInd/>
        <w:snapToGrid/>
        <w:spacing w:line="480" w:lineRule="exact"/>
        <w:ind w:right="-101" w:rightChars="-42"/>
        <w:jc w:val="left"/>
        <w:textAlignment w:val="auto"/>
        <w:rPr>
          <w:b/>
          <w:sz w:val="32"/>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right="-101" w:rightChars="-42"/>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spacing w:val="-14"/>
          <w:sz w:val="28"/>
          <w:szCs w:val="24"/>
          <w:u w:val="single" w:color="FF0000"/>
          <w:lang w:val="en-US" w:eastAsia="zh-CN"/>
        </w:rPr>
        <w:t>上海市国有资产监督管理委员会办公室（党委办公室）     2025年</w:t>
      </w:r>
      <w:r>
        <w:rPr>
          <w:rFonts w:hint="eastAsia" w:ascii="Times New Roman" w:hAnsi="Times New Roman" w:eastAsia="楷体_GB2312" w:cs="Times New Roman"/>
          <w:spacing w:val="-14"/>
          <w:sz w:val="28"/>
          <w:szCs w:val="24"/>
          <w:u w:val="single" w:color="FF0000"/>
          <w:lang w:val="en-US" w:eastAsia="zh-CN"/>
        </w:rPr>
        <w:t>12</w:t>
      </w:r>
      <w:r>
        <w:rPr>
          <w:rFonts w:hint="default" w:ascii="Times New Roman" w:hAnsi="Times New Roman" w:eastAsia="楷体_GB2312" w:cs="Times New Roman"/>
          <w:spacing w:val="-14"/>
          <w:sz w:val="28"/>
          <w:szCs w:val="24"/>
          <w:u w:val="single" w:color="FF0000"/>
          <w:lang w:val="en-US" w:eastAsia="zh-CN"/>
        </w:rPr>
        <w:t>月</w:t>
      </w:r>
      <w:r>
        <w:rPr>
          <w:rFonts w:hint="eastAsia" w:ascii="Times New Roman" w:hAnsi="Times New Roman" w:eastAsia="楷体_GB2312" w:cs="Times New Roman"/>
          <w:spacing w:val="-14"/>
          <w:sz w:val="28"/>
          <w:szCs w:val="24"/>
          <w:u w:val="single" w:color="FF0000"/>
          <w:lang w:val="en-US" w:eastAsia="zh-CN"/>
        </w:rPr>
        <w:t xml:space="preserve">  </w:t>
      </w:r>
      <w:r>
        <w:rPr>
          <w:rFonts w:hint="default" w:ascii="Times New Roman" w:hAnsi="Times New Roman" w:eastAsia="楷体_GB2312" w:cs="Times New Roman"/>
          <w:spacing w:val="-14"/>
          <w:sz w:val="28"/>
          <w:szCs w:val="24"/>
          <w:u w:val="single" w:color="FF0000"/>
          <w:lang w:val="en-US" w:eastAsia="zh-CN"/>
        </w:rPr>
        <w:t>日</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b/>
          <w:bCs/>
          <w:sz w:val="32"/>
          <w:szCs w:val="32"/>
          <w:lang w:eastAsia="zh-CN"/>
        </w:rPr>
        <w:t>金融工作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中宋" w:cs="Times New Roman"/>
          <w:b w:val="0"/>
          <w:bCs/>
          <w:i w:val="0"/>
          <w:caps w:val="0"/>
          <w:spacing w:val="-6"/>
          <w:kern w:val="44"/>
          <w:sz w:val="36"/>
          <w:szCs w:val="36"/>
          <w:shd w:val="clear" w:fill="FFFFFF"/>
          <w:lang w:val="en-US" w:eastAsia="zh-CN" w:bidi="ar"/>
        </w:rPr>
      </w:pPr>
      <w:r>
        <w:rPr>
          <w:rFonts w:hint="default" w:ascii="Times New Roman" w:hAnsi="Times New Roman" w:eastAsia="华文中宋" w:cs="Times New Roman"/>
          <w:b w:val="0"/>
          <w:bCs/>
          <w:i w:val="0"/>
          <w:caps w:val="0"/>
          <w:spacing w:val="-6"/>
          <w:kern w:val="44"/>
          <w:sz w:val="36"/>
          <w:szCs w:val="36"/>
          <w:shd w:val="clear" w:fill="FFFFFF"/>
          <w:lang w:val="en-US" w:eastAsia="zh-CN" w:bidi="ar"/>
        </w:rPr>
        <w:t>浦发银行并购贷款投放突破千亿大关</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中宋" w:cs="Times New Roman"/>
          <w:b w:val="0"/>
          <w:bCs/>
          <w:i w:val="0"/>
          <w:caps w:val="0"/>
          <w:spacing w:val="-6"/>
          <w:kern w:val="44"/>
          <w:sz w:val="36"/>
          <w:szCs w:val="36"/>
          <w:shd w:val="clear" w:fill="FFFFFF"/>
          <w:lang w:val="en-US" w:eastAsia="zh-CN" w:bidi="ar"/>
        </w:rPr>
      </w:pPr>
      <w:r>
        <w:rPr>
          <w:rFonts w:hint="default" w:ascii="Times New Roman" w:hAnsi="Times New Roman" w:eastAsia="华文中宋" w:cs="Times New Roman"/>
          <w:b w:val="0"/>
          <w:bCs/>
          <w:i w:val="0"/>
          <w:caps w:val="0"/>
          <w:spacing w:val="-6"/>
          <w:kern w:val="44"/>
          <w:sz w:val="36"/>
          <w:szCs w:val="36"/>
          <w:shd w:val="clear" w:fill="FFFFFF"/>
          <w:lang w:val="en-US" w:eastAsia="zh-CN" w:bidi="ar"/>
        </w:rPr>
        <w:t>持续打造创新产品与服务模式</w:t>
      </w:r>
    </w:p>
    <w:p>
      <w:pPr>
        <w:keepNext w:val="0"/>
        <w:keepLines w:val="0"/>
        <w:pageBreakBefore w:val="0"/>
        <w:widowControl/>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浦发银行并购贷款投放实现新突破。截至11月26日，浦发银行年内投放境内外并购贷款规模突破千亿大关，标志着并购金融服务迈上新台阶。</w:t>
      </w:r>
    </w:p>
    <w:p>
      <w:pPr>
        <w:keepNext w:val="0"/>
        <w:keepLines w:val="0"/>
        <w:pageBreakBefore w:val="0"/>
        <w:widowControl/>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年来，并购重组已成为推动科技创新、驱动产业升级、培育新质生产力的关键引擎。浦发银行紧跟新“国九条”“并购六条”及“上海并购十二条”等政策导向，将发展并购金融作为服务现代化产业体系建设的战略支点。</w:t>
      </w:r>
    </w:p>
    <w:p>
      <w:pPr>
        <w:keepNext w:val="0"/>
        <w:keepLines w:val="0"/>
        <w:pageBreakBefore w:val="0"/>
        <w:widowControl/>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2025年浦发银行推出“浦赢并购”超级产品，成立总行并购业务中心，以打造并购金融首选银行为目标，全面升级服务内核：以体系化发展规划为纲要，构建起以并购超级产品为核心的体制机制，确保战略执行有力、资源投放精准；以数智化能力建设为引擎，全面赋能客户洞察、项目承做、风险控制与生态链接，提升服务效率与体验；以精细化经营管理为基准，深耕重点区域、关键行业与核心客群，提供“一户一策一揽子”的差异化综合服务解决方案；以协同化生态搭建为路径，打通集团内部壁垒，联动外部战略伙伴，形成服务实体经济的强大合力。</w:t>
      </w:r>
    </w:p>
    <w:p>
      <w:pPr>
        <w:keepNext w:val="0"/>
        <w:keepLines w:val="0"/>
        <w:pageBreakBefore w:val="0"/>
        <w:widowControl/>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目前，浦发银行并购金融服务聚焦国资国企深化改革、上市公司提质增效、科技企业创新突破、跨境企业产业链优化、私募机构资产布局等五大关键领域，落地一批具有市场影响力的标杆案例，持续输出并购金融的“浦发范式”。比如，协助大型国有企业布局新质生产力，完善产业生态与价值链；助力半导体龙头企业优化产业格局，市占率跃居全球第二；推动生物医药企业实现从“技术迭代”到“生态搭建”的战略跃迁；加速国内网络安全领域A股上市公司技术性并购H股上市公司；创新落地全市场首单临港非居民并购贷款试点业务；联结国际化投资机构布局众多中国资产等。</w:t>
      </w:r>
    </w:p>
    <w:p>
      <w:pPr>
        <w:keepNext w:val="0"/>
        <w:keepLines w:val="0"/>
        <w:pageBreakBefore w:val="0"/>
        <w:widowControl/>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以此次站上千亿台阶为起点，浦发银行将进一步整合内外部优质金融资源，提升服务并购企业的综合经营能力，持续打造创新产品与服务模式，为上海国际金融中心能级提升与国家经济高质量发展，凝聚新动能、打造新优势、展现新作为。</w:t>
      </w:r>
      <w:r>
        <w:rPr>
          <w:rFonts w:hint="eastAsia" w:ascii="Times New Roman" w:hAnsi="Times New Roman" w:eastAsia="仿宋_GB2312" w:cs="仿宋_GB2312"/>
          <w:sz w:val="32"/>
          <w:szCs w:val="32"/>
          <w:lang w:val="en-US" w:eastAsia="zh-CN"/>
        </w:rPr>
        <w:t>（浦发银行）</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rPr>
        <w:t>国企之窗</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中宋" w:cs="Times New Roman"/>
          <w:b w:val="0"/>
          <w:bCs/>
          <w:i w:val="0"/>
          <w:caps w:val="0"/>
          <w:spacing w:val="-6"/>
          <w:kern w:val="44"/>
          <w:sz w:val="36"/>
          <w:szCs w:val="36"/>
          <w:shd w:val="clear" w:fill="FFFFFF"/>
          <w:lang w:val="en-US" w:eastAsia="zh-CN" w:bidi="ar"/>
        </w:rPr>
      </w:pPr>
      <w:r>
        <w:rPr>
          <w:rFonts w:hint="default" w:ascii="Times New Roman" w:hAnsi="Times New Roman" w:eastAsia="华文中宋" w:cs="Times New Roman"/>
          <w:b w:val="0"/>
          <w:bCs/>
          <w:i w:val="0"/>
          <w:caps w:val="0"/>
          <w:spacing w:val="-6"/>
          <w:kern w:val="44"/>
          <w:sz w:val="36"/>
          <w:szCs w:val="36"/>
          <w:shd w:val="clear" w:fill="FFFFFF"/>
          <w:lang w:val="en-US" w:eastAsia="zh-CN" w:bidi="ar"/>
        </w:rPr>
        <w:t>上汽集团前11月销量超2024年全年</w:t>
      </w:r>
      <w:r>
        <w:rPr>
          <w:rFonts w:hint="eastAsia" w:ascii="Times New Roman" w:hAnsi="Times New Roman" w:eastAsia="华文中宋" w:cs="Times New Roman"/>
          <w:b w:val="0"/>
          <w:bCs/>
          <w:i w:val="0"/>
          <w:caps w:val="0"/>
          <w:spacing w:val="-6"/>
          <w:kern w:val="44"/>
          <w:sz w:val="36"/>
          <w:szCs w:val="36"/>
          <w:shd w:val="clear" w:fill="FFFFFF"/>
          <w:lang w:val="en-US" w:eastAsia="zh-CN" w:bidi="ar"/>
        </w:rPr>
        <w:t>，</w:t>
      </w:r>
      <w:r>
        <w:rPr>
          <w:rFonts w:hint="default" w:ascii="Times New Roman" w:hAnsi="Times New Roman" w:eastAsia="华文中宋" w:cs="Times New Roman"/>
          <w:b w:val="0"/>
          <w:bCs/>
          <w:i w:val="0"/>
          <w:caps w:val="0"/>
          <w:spacing w:val="-6"/>
          <w:kern w:val="44"/>
          <w:sz w:val="36"/>
          <w:szCs w:val="36"/>
          <w:shd w:val="clear" w:fill="FFFFFF"/>
          <w:lang w:val="en-US" w:eastAsia="zh-CN" w:bidi="ar"/>
        </w:rPr>
        <w:t>经营质量持续提升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在行业变局中，上汽集团持续发力，实现销量连续增长。今年1至11月，上汽集团累计销售整车410.8万辆，同比增长16.4%，销量已超去年全年。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自主品牌节节攀升。</w:t>
      </w:r>
      <w:r>
        <w:rPr>
          <w:rFonts w:hint="eastAsia" w:ascii="Times New Roman" w:hAnsi="Times New Roman" w:eastAsia="仿宋_GB2312" w:cs="仿宋_GB2312"/>
          <w:sz w:val="32"/>
          <w:szCs w:val="32"/>
          <w:lang w:val="en-US" w:eastAsia="zh-CN"/>
        </w:rPr>
        <w:t>11月，上汽自主品牌销量达31.6万辆，同比增长9.5%；1至11月累计销量达266.6万辆，同比增长25.7%，占上汽销量比重达64.9%，较去年同期提升4.8%。11月，上汽乘用车销量突破10万辆，同比增长36.4%，国内市场销量大幅增长97.6%；上汽大通销售2.4万辆，同比增长81.3%；上汽通用五菱销售16.6万辆，继续保持在主要细分市场的领先地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新能源车再创新高。</w:t>
      </w:r>
      <w:r>
        <w:rPr>
          <w:rFonts w:hint="eastAsia" w:ascii="Times New Roman" w:hAnsi="Times New Roman" w:eastAsia="仿宋_GB2312" w:cs="仿宋_GB2312"/>
          <w:sz w:val="32"/>
          <w:szCs w:val="32"/>
          <w:lang w:val="en-US" w:eastAsia="zh-CN"/>
        </w:rPr>
        <w:t>11月，上汽新能源车销售20.9万辆，继9月和10月之后再创历史新高，同比增长19.7%；1至11月累计销售149.9万辆，同比增长38.8%。11月，智己汽车销售1.3万辆，同比增长34.3%，连续3个月销量破万，“恒星超级增程”技术赋能下的新一代智己LS6与大六座智己LS9成为20万元级与30万元级新能源市场的热门产品；上汽乘用车销售新能源车4.2万辆，同比增长277.2%，并推出全球首款量产搭载半固态电池的车型MG4半固态安芯版，安全性能较行业最高标准提升20%以上，本月将开启交付；上汽大通销售新能源车超过8000辆，同比增长196.2%；上汽通用销售新能源车1.1万辆，同比增长60.4%；上汽通用五菱销售新能源车12万辆，五菱缤果家族累计销量突破60万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海外市场稳扎稳打。</w:t>
      </w:r>
      <w:r>
        <w:rPr>
          <w:rFonts w:hint="eastAsia" w:ascii="Times New Roman" w:hAnsi="Times New Roman" w:eastAsia="仿宋_GB2312" w:cs="仿宋_GB2312"/>
          <w:sz w:val="32"/>
          <w:szCs w:val="32"/>
          <w:lang w:val="en-US" w:eastAsia="zh-CN"/>
        </w:rPr>
        <w:t>11月，上汽海外市场销售10.7万辆，同比增长13.9%；1至11月累计销售96.9万辆，同比增长3.4%。今年在欧洲、中东、澳新等基盘市场，上汽销量稳中有进。尤其是欧洲市场，MG今年累计交付28.5万辆，同比增长超过25%，蝉联在欧洲销量最高的中国车企。由MG4、MGS5、MG IM5、MG IM6、MG Cyberster等组成的MG纯电家族全面发力，MG电动车在英国的历史累计销量突破10万辆大关，销量结构不断优化，经营质量持续提升，为中国智造出海树立新标杆。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上汽集团正在构建更加灵活高效的运营体制机制，转型升级步伐不断加快，市场响应速度显著提升。未来，上汽集团将依托固态电池、数字底盘、高效动力总成、智能驾驶、智能座舱等创新技术的突破和应用，积极为全球用户打造更安全、舒适、便捷的出行体验。（上汽集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val="0"/>
          <w:bCs/>
          <w:i w:val="0"/>
          <w:caps w:val="0"/>
          <w:spacing w:val="0"/>
          <w:kern w:val="44"/>
          <w:sz w:val="36"/>
          <w:szCs w:val="36"/>
          <w:shd w:val="clear" w:fill="FFFFFF"/>
          <w:lang w:val="en-US" w:eastAsia="zh-CN" w:bidi="ar"/>
        </w:rPr>
      </w:pPr>
      <w:r>
        <w:rPr>
          <w:rFonts w:hint="eastAsia" w:ascii="华文中宋" w:hAnsi="华文中宋" w:eastAsia="华文中宋" w:cs="华文中宋"/>
          <w:b w:val="0"/>
          <w:bCs/>
          <w:i w:val="0"/>
          <w:caps w:val="0"/>
          <w:spacing w:val="0"/>
          <w:kern w:val="44"/>
          <w:sz w:val="36"/>
          <w:szCs w:val="36"/>
          <w:shd w:val="clear" w:fill="FFFFFF"/>
          <w:lang w:val="en-US" w:eastAsia="zh-CN" w:bidi="ar"/>
        </w:rPr>
        <w:t>数据集团推出创新数字生活服务“链数根”</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val="0"/>
          <w:bCs/>
          <w:i w:val="0"/>
          <w:caps w:val="0"/>
          <w:spacing w:val="0"/>
          <w:kern w:val="44"/>
          <w:sz w:val="36"/>
          <w:szCs w:val="36"/>
          <w:shd w:val="clear" w:fill="FFFFFF"/>
          <w:lang w:val="en-US" w:eastAsia="zh-CN" w:bidi="ar"/>
        </w:rPr>
      </w:pPr>
      <w:r>
        <w:rPr>
          <w:rFonts w:hint="eastAsia" w:ascii="华文中宋" w:hAnsi="华文中宋" w:eastAsia="华文中宋" w:cs="华文中宋"/>
          <w:b w:val="0"/>
          <w:bCs/>
          <w:i w:val="0"/>
          <w:caps w:val="0"/>
          <w:spacing w:val="0"/>
          <w:kern w:val="44"/>
          <w:sz w:val="36"/>
          <w:szCs w:val="36"/>
          <w:shd w:val="clear" w:fill="FFFFFF"/>
          <w:lang w:val="en-US" w:eastAsia="zh-CN" w:bidi="ar"/>
        </w:rPr>
        <w:t>探索数字权益新路径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数据集团下属浦江数链发布一项面向公众的创新数字生活服务——“链数根”，该服务旨在利用区块链技术，让用户在享受便捷数字生活的同时，让数据权利真正回归个人，探索数字权益及价值兑现的新路径。</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区块链技术重塑数字生活，数据权利“可见可管可兑现”。</w:t>
      </w:r>
      <w:r>
        <w:rPr>
          <w:rFonts w:hint="eastAsia" w:ascii="Times New Roman" w:hAnsi="Times New Roman" w:eastAsia="仿宋_GB2312" w:cs="仿宋_GB2312"/>
          <w:sz w:val="32"/>
          <w:szCs w:val="32"/>
          <w:lang w:val="en-US" w:eastAsia="zh-CN"/>
        </w:rPr>
        <w:t>区别于传统高度中心化平台模式，“链数根”基于区块链技术，构建了一套全新的数字权益机制。用户的日常行为——无论是逛景点、看展览、商圈消费还是参与社区服务，都能生成独一无二的“数字存根”数据资产。这些“存根”好比保存在链上的“数字凭证”，由用户自主持有和调配，实现数据权利的专属掌控。商户和服务方可以基于用户的充分授权前提下，对“存根”持有用户提供权益和专属服务，但无法擅自获取或滥用用户个人信息。通过多方节点共同见证、不可篡改的技术架构，“链数根”让数据流转全程有迹可循，在提升服务体验的同时，更加强调隐私保护和数据安全，真正实现“数据在流动、权利在用户”。“链数根”不再发放传统意义上“人人一样”的普惠优惠券，而是根据用户在不同场景中的参与频率、活跃程度与贡献情况，形成非普发、可升级的个性化权益——谁的参与更多、场景更丰富，谁获得的权益越优质、选择越多元。通过“链数根”能力，让每一次在场、每一次点击、每一分钱支出，都能被可信计量、被隐私保护、被价值回馈。</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六大场景率先落地，打造多元数字生活生态。</w:t>
      </w:r>
      <w:r>
        <w:rPr>
          <w:rFonts w:hint="eastAsia" w:ascii="Times New Roman" w:hAnsi="Times New Roman" w:eastAsia="仿宋_GB2312" w:cs="仿宋_GB2312"/>
          <w:sz w:val="32"/>
          <w:szCs w:val="32"/>
          <w:lang w:val="en-US" w:eastAsia="zh-CN"/>
        </w:rPr>
        <w:t>“链数根”生态首批六大应用场景也正式发布，涵盖社区助老公益、上海中心大厦景区、徐州文化旅游票根、南京西路街区体验、七宝古镇游览以及静安寺街道特色活动等多元领域。这些场景的落地，标志着区块链技术正从概念走向大众日常生活。</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“链数根合作创新联盟”启动，共建可信数字生态。</w:t>
      </w:r>
      <w:r>
        <w:rPr>
          <w:rFonts w:hint="eastAsia" w:ascii="Times New Roman" w:hAnsi="Times New Roman" w:eastAsia="仿宋_GB2312" w:cs="仿宋_GB2312"/>
          <w:sz w:val="32"/>
          <w:szCs w:val="32"/>
          <w:lang w:val="en-US" w:eastAsia="zh-CN"/>
        </w:rPr>
        <w:t>浦江数链还携手中国联通上海分公司、上海银行、中国移动上海公司、东方有线、上海中心大厦、上海浦东软件园等多家机构，启动“链数根合作创新联盟”。这一联盟的成立，将进一步加强区块链技术在民生领域的深度创新应用，推动构建更加安全、可信的数字生活环境。联盟将聚焦技术标准、应用场景、权益规则、数据治理等方面开展协同创新：一方面，推动形成统一的“数字存根”技术和业务规范，实现不同主体之间“无缝协作、可管可控”；另一方面，通过联盟治理机制，探索更加透明、公平的收益分配与激励方式，吸引更多市场主体参与共建共享，共同构成面向城市级应用的“数根生态圈”。随着“链数根”应用体系持续扩大，未来，“链数根”将逐步形成覆盖文旅、商贸、体育、展会等领域的城市级数字权益网络，为企业提供更精准的用户触达能力，为市民带来持续可兑换的数字权益体验，为数字时代的数据确权与应用创新贡献上海方案。（数据集团）</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中宋" w:cs="Times New Roman"/>
          <w:b w:val="0"/>
          <w:bCs/>
          <w:i w:val="0"/>
          <w:caps w:val="0"/>
          <w:spacing w:val="-6"/>
          <w:kern w:val="44"/>
          <w:sz w:val="36"/>
          <w:szCs w:val="36"/>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中宋" w:cs="Times New Roman"/>
          <w:b w:val="0"/>
          <w:bCs/>
          <w:i w:val="0"/>
          <w:caps w:val="0"/>
          <w:spacing w:val="-6"/>
          <w:kern w:val="44"/>
          <w:sz w:val="36"/>
          <w:szCs w:val="36"/>
          <w:shd w:val="clear" w:fill="FFFFFF"/>
          <w:lang w:val="en-US" w:eastAsia="zh-CN" w:bidi="ar"/>
        </w:rPr>
      </w:pPr>
      <w:r>
        <w:rPr>
          <w:rFonts w:hint="default" w:ascii="Times New Roman" w:hAnsi="Times New Roman" w:eastAsia="华文中宋" w:cs="Times New Roman"/>
          <w:b w:val="0"/>
          <w:bCs/>
          <w:i w:val="0"/>
          <w:caps w:val="0"/>
          <w:spacing w:val="-6"/>
          <w:kern w:val="44"/>
          <w:sz w:val="36"/>
          <w:szCs w:val="36"/>
          <w:shd w:val="clear" w:fill="FFFFFF"/>
          <w:lang w:val="en-US" w:eastAsia="zh-CN" w:bidi="ar"/>
        </w:rPr>
        <w:t>浦东机场23.92兆瓦光伏发电项目成功并网发电</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中宋" w:cs="Times New Roman"/>
          <w:b w:val="0"/>
          <w:bCs/>
          <w:i w:val="0"/>
          <w:caps w:val="0"/>
          <w:spacing w:val="-6"/>
          <w:kern w:val="44"/>
          <w:sz w:val="36"/>
          <w:szCs w:val="36"/>
          <w:shd w:val="clear" w:fill="FFFFFF"/>
          <w:lang w:val="en-US" w:eastAsia="zh-CN" w:bidi="ar"/>
        </w:rPr>
      </w:pPr>
      <w:r>
        <w:rPr>
          <w:rFonts w:hint="default" w:ascii="Times New Roman" w:hAnsi="Times New Roman" w:eastAsia="华文中宋" w:cs="Times New Roman"/>
          <w:b w:val="0"/>
          <w:bCs/>
          <w:i w:val="0"/>
          <w:caps w:val="0"/>
          <w:spacing w:val="-6"/>
          <w:kern w:val="44"/>
          <w:sz w:val="36"/>
          <w:szCs w:val="36"/>
          <w:shd w:val="clear" w:fill="FFFFFF"/>
          <w:lang w:val="en-US" w:eastAsia="zh-CN" w:bidi="ar"/>
        </w:rPr>
        <w:t>设施规模行业领先</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建设规模23.92兆瓦的浦东机场一三跑道北侧二期分布式光伏发电项目完成调试验收，实现全容量并网发电（全部发电容量并入内部电网）。项目采用“自发自用”模式，每年平均发电量约2458万度，节约用电成本超740万元，减少碳排放1.32万吨。本次并网发电后，浦东机场分布式光伏项目总装机规模达到52.38兆瓦，位列国内机场行业领先水平。该项目是机场集团与申能集团战略合作框架协议下的重点示范项目，由申能集团旗下申能股份投资建设运营。</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民用机场占地面积大、能源需求大，是建设分布式光伏电站的最佳场所之一，然而推动光伏绿电在机场应用，眩光是必须破解的难题。为此，浦东机场在项目选型阶段就对光伏组件提出了严格的要求——不仅要具备高效发电能力，还要兼顾安全性、可靠性和防眩光性能。最终，通过采用全黑边边框、应用了特殊防眩光涂层的定制组件，实现了有效散射光线并最大限度消除金属反光。同时，考虑日常天气条件，光伏设备采用了双螺母锁死设计和背面抱箍装置，更好应对沿海多发强风等极端天气。机场还通过仿真模型分析，优化光伏板敷设角度等举措，从设计源头上更好满足机场净空环境管控要求。</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年来，浦东机场根据上海机场《绿色机场建设规划（2020—2035）》要求，大力推进绿色机场建设。自2023年以来，1.59兆瓦P4长时停车库屋顶光伏项目、13.61兆瓦一三跑道北侧一期项目、10.8兆瓦浦东机场四期扩建工程屋顶光伏项目先后并网发电。未来，还将继续向百兆瓦级分布式光伏规模迈进，助力上海机场绿色低碳发展迈向更高水平。（机场集团、申能集团）</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val="0"/>
          <w:bCs/>
          <w:i w:val="0"/>
          <w:caps w:val="0"/>
          <w:spacing w:val="0"/>
          <w:kern w:val="44"/>
          <w:sz w:val="36"/>
          <w:szCs w:val="36"/>
          <w:shd w:val="clear" w:fill="FFFFFF"/>
          <w:lang w:val="en-US" w:eastAsia="zh-CN" w:bidi="ar"/>
        </w:rPr>
      </w:pPr>
      <w:r>
        <w:rPr>
          <w:rFonts w:hint="eastAsia" w:ascii="华文中宋" w:hAnsi="华文中宋" w:eastAsia="华文中宋" w:cs="华文中宋"/>
          <w:b w:val="0"/>
          <w:bCs/>
          <w:i w:val="0"/>
          <w:caps w:val="0"/>
          <w:spacing w:val="0"/>
          <w:kern w:val="44"/>
          <w:sz w:val="36"/>
          <w:szCs w:val="36"/>
          <w:shd w:val="clear" w:fill="FFFFFF"/>
          <w:lang w:val="en-US" w:eastAsia="zh-CN" w:bidi="ar"/>
        </w:rPr>
        <w:t>联和投资公司下属垣信卫星“牵手”空中客车</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在2025卫星互联网产业生态大会上，联和投资公司下属上海垣信卫星科技有限公司（以下简称“垣信卫星”）与空中客车公司进行了“千帆星座”市场合作签约，垣信卫星先进的低轨卫星互联服务将整合至空中客车的机上互联解决方案。</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借助“千帆星座”，空中客车的乘客将享受到由垣信卫星提供的高速、低时延低轨卫星互联服务。此次合作不仅将助力空中客车提升乘客的机上体验，还将推动其全球机队运营效率的优化。同时，双方将致力于满足航空公司对可靠、本土化互联解决方案的迫切需求，推动机上服务智能化、个性化发展，为民航的高质量发展注入新动能。这是“千帆星座”迈向全球应用的关键一步，也是空天地一体化通信解决方案的融合典范，意味着“千帆星座”将深度融入全球产业链、参与制定未来空中互联标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在最新的建设进展中，“千帆星座”通信在轨业务测试结果符合预期。其在轨测试结果显示：PC互联网测试下行速率达到500+Mbps、上行速率超过100+Mbps；成功开展高清视频通话业务演示验证；持续开展Iperf灌包业务演示验证；实现19颗卫星稳定切换，连续通信时间达到120分钟。</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截至目前，“千帆星座”已在马来西亚、蒙古国、哈萨克斯坦等国外应用场景开展测试，实测业务体验良好。</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今年10月，“千帆星座”以“一箭18星”方式发射第六批组网卫星。至此，“千帆星座”已完成4颗试验卫星、6组共计108颗组网卫星发射。（联和投资公司）</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val="0"/>
          <w:bCs/>
          <w:i w:val="0"/>
          <w:caps w:val="0"/>
          <w:spacing w:val="0"/>
          <w:kern w:val="44"/>
          <w:sz w:val="36"/>
          <w:szCs w:val="36"/>
          <w:shd w:val="clear" w:fill="FFFFFF"/>
          <w:lang w:val="en-US" w:eastAsia="zh-CN" w:bidi="ar"/>
        </w:rPr>
      </w:pPr>
      <w:r>
        <w:rPr>
          <w:rFonts w:hint="eastAsia" w:ascii="华文中宋" w:hAnsi="华文中宋" w:eastAsia="华文中宋" w:cs="华文中宋"/>
          <w:b w:val="0"/>
          <w:bCs/>
          <w:i w:val="0"/>
          <w:caps w:val="0"/>
          <w:spacing w:val="0"/>
          <w:kern w:val="44"/>
          <w:sz w:val="36"/>
          <w:szCs w:val="36"/>
          <w:shd w:val="clear" w:fill="FFFFFF"/>
          <w:lang w:val="en-US" w:eastAsia="zh-CN" w:bidi="ar"/>
        </w:rPr>
        <w:t>上海地产集团为世博黄浦滨江再添“体育+生态”新地标</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世博黄浦滨江片区再添品质公共空间——上海地产集团下属世发公司投资建设的68号足球公园正式亮相。这座集专业运动配置与滨水生态景观于一体的现代化运动场地，不仅为区域新增高品质足球运动载体，更以足球为媒构建起生态、体育、社区深度融合的生活场景，成为市民家门口的高品质运动客厅，为世博滨江“体育休闲带”建设注入新动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68号足球公园坐落于黄浦区龙华东路68号，总占地面积达8400平方米，紧邻黄浦江岸线，深度契合世博滨江“生态优先、功能复合”的发展脉络。公园内规划建设四片标准6-8人制人工草足球场，场地铺设专业级环保人工草皮，配套完善的排水系统与边界设施，可满足专业训练、业余赛事、亲子活动等多元需求。同时配备高杆LED投光灯系统，光照均匀且亮度达标，实现日间与夜间全天候运动场景覆盖，进一步拓展市民运动时间维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作为世博滨江“体育休闲带”建设者，上海地产集团下属世发公司聚焦“商、旅、文、体”融合发展战略，深耕不动产运营与公共空间打造领域。68号足球公园的落地运营，是公司践行“以人民为中心”发展理念、激活储备土地价值的生动实践——既为沪上足球爱好者提供专业化、常态化的运动交流平台，更通过体育业态串联起滨江生态廊道、历史文化节点与社区生活圈，形成“运动+观景+社交”的复合型消费场景。</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未来，上海地产集团将持续完善68号足球公园配套服务，策划开展业余足球联赛、青少年足球训练营、亲子运动嘉年华等特色活动，助力世博地区打造集运动休闲、生态观光、文化体验于一体的“目的地消费新标杆”，为上海建设国际体育赛事之都、提升城市滨水空间品质贡献世博力量。（上海地产集团）</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600" w:lineRule="exact"/>
        <w:ind w:left="0" w:right="0" w:firstLine="0"/>
        <w:jc w:val="center"/>
        <w:rPr>
          <w:rFonts w:hint="eastAsia" w:ascii="华文中宋" w:hAnsi="华文中宋" w:eastAsia="华文中宋" w:cs="华文中宋"/>
          <w:bCs/>
          <w:i w:val="0"/>
          <w:iCs w:val="0"/>
          <w:caps w:val="0"/>
          <w:spacing w:val="0"/>
          <w:kern w:val="44"/>
          <w:sz w:val="36"/>
          <w:szCs w:val="36"/>
          <w:shd w:val="clear" w:fill="FFFFFF"/>
          <w:lang w:bidi="ar"/>
        </w:rPr>
      </w:pPr>
      <w:r>
        <w:rPr>
          <w:rFonts w:hint="eastAsia" w:ascii="华文中宋" w:hAnsi="华文中宋" w:eastAsia="华文中宋" w:cs="华文中宋"/>
          <w:bCs/>
          <w:i w:val="0"/>
          <w:iCs w:val="0"/>
          <w:caps w:val="0"/>
          <w:spacing w:val="0"/>
          <w:kern w:val="44"/>
          <w:sz w:val="36"/>
          <w:szCs w:val="36"/>
          <w:shd w:val="clear" w:fill="FFFFFF"/>
          <w:lang w:bidi="ar"/>
        </w:rPr>
        <w:t>东方国际旗下德福伦全生物基聚酯PEF纤维获新突破</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exact"/>
        <w:ind w:left="0" w:right="0" w:firstLine="640" w:firstLineChars="200"/>
        <w:jc w:val="both"/>
        <w:rPr>
          <w:rFonts w:hint="eastAsia" w:ascii="Times New Roman" w:hAnsi="Times New Roman" w:eastAsia="仿宋_GB2312" w:cs="仿宋_GB2312"/>
          <w:i w:val="0"/>
          <w:iCs w:val="0"/>
          <w:caps w:val="0"/>
          <w:color w:val="3E3E3E"/>
          <w:spacing w:val="0"/>
          <w:sz w:val="32"/>
          <w:szCs w:val="32"/>
        </w:rPr>
      </w:pPr>
      <w:r>
        <w:rPr>
          <w:rFonts w:hint="eastAsia" w:ascii="Times New Roman" w:hAnsi="Times New Roman" w:eastAsia="仿宋_GB2312" w:cs="仿宋_GB2312"/>
          <w:i w:val="0"/>
          <w:iCs w:val="0"/>
          <w:caps w:val="0"/>
          <w:spacing w:val="0"/>
          <w:sz w:val="32"/>
          <w:szCs w:val="32"/>
          <w:shd w:val="clear"/>
          <w:lang w:eastAsia="zh-CN"/>
        </w:rPr>
        <w:t>日前，</w:t>
      </w:r>
      <w:r>
        <w:rPr>
          <w:rFonts w:hint="eastAsia" w:ascii="Times New Roman" w:hAnsi="Times New Roman" w:eastAsia="仿宋_GB2312" w:cs="仿宋_GB2312"/>
          <w:i w:val="0"/>
          <w:iCs w:val="0"/>
          <w:caps w:val="0"/>
          <w:color w:val="3E3E3E"/>
          <w:spacing w:val="0"/>
          <w:sz w:val="32"/>
          <w:szCs w:val="32"/>
          <w:shd w:val="clear" w:fill="FFFFFF"/>
        </w:rPr>
        <w:t>东方国际旗下上海德福伦新材料科技有限公司凭借全生物基聚酯PEF纤维的突破性创新，入选《2025年度纺织行业先进适用性技术汇编》与《“纺织之光”2025年度纺织行业专精特新新产品、新技术推介合作汇编》两大行业权威汇编。</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exact"/>
        <w:ind w:left="0" w:right="0" w:firstLine="640" w:firstLineChars="200"/>
        <w:jc w:val="both"/>
        <w:rPr>
          <w:rFonts w:hint="eastAsia" w:ascii="Times New Roman" w:hAnsi="Times New Roman" w:eastAsia="仿宋_GB2312" w:cs="仿宋_GB2312"/>
          <w:i w:val="0"/>
          <w:iCs w:val="0"/>
          <w:caps w:val="0"/>
          <w:color w:val="3E3E3E"/>
          <w:spacing w:val="0"/>
          <w:sz w:val="32"/>
          <w:szCs w:val="32"/>
        </w:rPr>
      </w:pPr>
      <w:r>
        <w:rPr>
          <w:rFonts w:hint="eastAsia" w:ascii="Times New Roman" w:hAnsi="Times New Roman" w:eastAsia="仿宋_GB2312" w:cs="仿宋_GB2312"/>
          <w:i w:val="0"/>
          <w:iCs w:val="0"/>
          <w:caps w:val="0"/>
          <w:color w:val="3E3E3E"/>
          <w:spacing w:val="0"/>
          <w:sz w:val="32"/>
          <w:szCs w:val="32"/>
          <w:shd w:val="clear" w:fill="FFFFFF"/>
        </w:rPr>
        <w:t>该技术以非粮生物基原料实现源头替代，并通过从原料到工艺的全链条优化，为行业提供了一条可量化、可推广的低碳转型路径，充分验证了生物基材料的规模化应用潜力。</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both"/>
        <w:rPr>
          <w:rFonts w:hint="eastAsia" w:ascii="Times New Roman" w:hAnsi="Times New Roman" w:eastAsia="仿宋_GB2312" w:cs="仿宋_GB2312"/>
          <w:i w:val="0"/>
          <w:iCs w:val="0"/>
          <w:caps w:val="0"/>
          <w:color w:val="3E3E3E"/>
          <w:spacing w:val="0"/>
          <w:sz w:val="32"/>
          <w:szCs w:val="32"/>
        </w:rPr>
      </w:pPr>
      <w:r>
        <w:rPr>
          <w:rFonts w:hint="eastAsia" w:ascii="Times New Roman" w:hAnsi="Times New Roman" w:eastAsia="仿宋_GB2312" w:cs="仿宋_GB2312"/>
          <w:i w:val="0"/>
          <w:iCs w:val="0"/>
          <w:caps w:val="0"/>
          <w:color w:val="3E3E3E"/>
          <w:spacing w:val="0"/>
          <w:sz w:val="32"/>
          <w:szCs w:val="32"/>
        </w:rPr>
        <w:t>德福伦公司研发的全生物基聚酯——聚呋喃二甲酸乙二醇酯（PEF）与聚对苯二甲酸乙二醇酯（PET）结构类似，但由于其生物质来源，可持续性优势，环保特性显著，是PET纤维的升级替代品。PEF纤维来源于可再生的非粮植物资源，如玉米芯或秸秆，减少了对化石材料的依赖。现有聚酯回收系统与PEF兼容，为构建循环经济提供了理想解决方案。</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both"/>
        <w:rPr>
          <w:rFonts w:hint="eastAsia" w:ascii="Times New Roman" w:hAnsi="Times New Roman" w:eastAsia="仿宋_GB2312" w:cs="仿宋_GB2312"/>
          <w:i w:val="0"/>
          <w:iCs w:val="0"/>
          <w:caps w:val="0"/>
          <w:color w:val="3E3E3E"/>
          <w:spacing w:val="0"/>
          <w:sz w:val="32"/>
          <w:szCs w:val="32"/>
        </w:rPr>
      </w:pPr>
      <w:r>
        <w:rPr>
          <w:rFonts w:hint="eastAsia" w:ascii="Times New Roman" w:hAnsi="Times New Roman" w:eastAsia="仿宋_GB2312" w:cs="仿宋_GB2312"/>
          <w:i w:val="0"/>
          <w:iCs w:val="0"/>
          <w:caps w:val="0"/>
          <w:color w:val="3E3E3E"/>
          <w:spacing w:val="0"/>
          <w:sz w:val="32"/>
          <w:szCs w:val="32"/>
        </w:rPr>
        <w:t>PEF纤维集成多种卓越性能于一身，吸湿速干特性为消费者提供更舒适的穿着体验，本征防晒功能提供了持久的紫外线防护能力，天然抑菌特性满足了现代消费者对健康、安全纺织品的需求。其低碳排放特性，实现了全生命周期碳排放降低约50%，通过生物质原料替代和工艺优化，为纺织行业低碳转型提供量化路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i w:val="0"/>
          <w:iCs w:val="0"/>
          <w:caps w:val="0"/>
          <w:spacing w:val="0"/>
          <w:kern w:val="0"/>
          <w:sz w:val="32"/>
          <w:szCs w:val="32"/>
          <w:lang w:val="en-US" w:eastAsia="zh-CN" w:bidi="ar"/>
        </w:rPr>
        <w:t>未来，</w:t>
      </w:r>
      <w:r>
        <w:rPr>
          <w:rFonts w:hint="eastAsia" w:ascii="Times New Roman" w:hAnsi="Times New Roman" w:eastAsia="仿宋_GB2312" w:cs="仿宋_GB2312"/>
          <w:i w:val="0"/>
          <w:iCs w:val="0"/>
          <w:caps w:val="0"/>
          <w:color w:val="auto"/>
          <w:spacing w:val="0"/>
          <w:kern w:val="0"/>
          <w:sz w:val="32"/>
          <w:szCs w:val="32"/>
          <w:lang w:val="en-US" w:eastAsia="zh-CN" w:bidi="ar"/>
        </w:rPr>
        <w:t>德福伦将继续深化技术创新，拓展应用场景，为纺织行业提供更多优质的绿色材料选择，助力“双碳”目标实现，共同开创纺织行业绿色、低碳、可持续的美好未来。</w:t>
      </w:r>
      <w:r>
        <w:rPr>
          <w:rFonts w:hint="eastAsia" w:ascii="Times New Roman" w:hAnsi="Times New Roman" w:eastAsia="仿宋_GB2312" w:cs="仿宋_GB2312"/>
          <w:i w:val="0"/>
          <w:iCs w:val="0"/>
          <w:caps w:val="0"/>
          <w:spacing w:val="0"/>
          <w:kern w:val="0"/>
          <w:sz w:val="32"/>
          <w:szCs w:val="32"/>
          <w:lang w:val="en-US" w:eastAsia="zh-CN" w:bidi="ar"/>
        </w:rPr>
        <w:t>（东方国际）</w:t>
      </w:r>
    </w:p>
    <w:sectPr>
      <w:footerReference r:id="rId3" w:type="default"/>
      <w:pgSz w:w="11906" w:h="16838"/>
      <w:pgMar w:top="2041"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type Corsiva">
    <w:altName w:val="Mongolian Baiti"/>
    <w:panose1 w:val="03010101010201010101"/>
    <w:charset w:val="00"/>
    <w:family w:val="script"/>
    <w:pitch w:val="default"/>
    <w:sig w:usb0="00000000" w:usb1="00000000" w:usb2="00000000" w:usb3="00000000" w:csb0="2000009F" w:csb1="DFD70000"/>
  </w:font>
  <w:font w:name="方正舒体">
    <w:altName w:val="宋体"/>
    <w:panose1 w:val="0201060103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CF3C52" w:usb2="00000016" w:usb3="00000000" w:csb0="0004001F" w:csb1="00000000"/>
  </w:font>
  <w:font w:name="Mongolian Baiti">
    <w:panose1 w:val="03000500000000000000"/>
    <w:charset w:val="00"/>
    <w:family w:val="auto"/>
    <w:pitch w:val="default"/>
    <w:sig w:usb0="80000023" w:usb1="00000000" w:usb2="00020000" w:usb3="00000000" w:csb0="000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97D2F"/>
    <w:multiLevelType w:val="multilevel"/>
    <w:tmpl w:val="2CB97D2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D3C4E"/>
    <w:rsid w:val="0189664D"/>
    <w:rsid w:val="029A7D90"/>
    <w:rsid w:val="04C9495C"/>
    <w:rsid w:val="04F922D8"/>
    <w:rsid w:val="061A6B1D"/>
    <w:rsid w:val="06236B1C"/>
    <w:rsid w:val="06585F98"/>
    <w:rsid w:val="06C23411"/>
    <w:rsid w:val="0BC94856"/>
    <w:rsid w:val="0CA7474C"/>
    <w:rsid w:val="0E197DBB"/>
    <w:rsid w:val="132B63AE"/>
    <w:rsid w:val="14CE54A9"/>
    <w:rsid w:val="16E72946"/>
    <w:rsid w:val="192763CA"/>
    <w:rsid w:val="199C0963"/>
    <w:rsid w:val="1AB64BE3"/>
    <w:rsid w:val="1BCF2B71"/>
    <w:rsid w:val="1C263E88"/>
    <w:rsid w:val="1DFFB3F8"/>
    <w:rsid w:val="22E8419D"/>
    <w:rsid w:val="263435E5"/>
    <w:rsid w:val="263D3F96"/>
    <w:rsid w:val="285F30B0"/>
    <w:rsid w:val="2A5D464D"/>
    <w:rsid w:val="2A75410F"/>
    <w:rsid w:val="2AA358A3"/>
    <w:rsid w:val="2B603794"/>
    <w:rsid w:val="30347592"/>
    <w:rsid w:val="30FF0F4F"/>
    <w:rsid w:val="31045B89"/>
    <w:rsid w:val="34495732"/>
    <w:rsid w:val="3604551F"/>
    <w:rsid w:val="365841AE"/>
    <w:rsid w:val="36B670C2"/>
    <w:rsid w:val="38257DE4"/>
    <w:rsid w:val="38413B3E"/>
    <w:rsid w:val="3D72154A"/>
    <w:rsid w:val="3DB04ECE"/>
    <w:rsid w:val="3E151A9D"/>
    <w:rsid w:val="3E6E56EE"/>
    <w:rsid w:val="3F7809C4"/>
    <w:rsid w:val="41943621"/>
    <w:rsid w:val="43BD286C"/>
    <w:rsid w:val="45811D29"/>
    <w:rsid w:val="45F07FE8"/>
    <w:rsid w:val="475FA5FB"/>
    <w:rsid w:val="48603129"/>
    <w:rsid w:val="486D017A"/>
    <w:rsid w:val="4B352E5D"/>
    <w:rsid w:val="524D6E98"/>
    <w:rsid w:val="5AA73C6B"/>
    <w:rsid w:val="5C5C0361"/>
    <w:rsid w:val="5EA11DC5"/>
    <w:rsid w:val="60B74988"/>
    <w:rsid w:val="618741B1"/>
    <w:rsid w:val="61E51DE2"/>
    <w:rsid w:val="63543F1E"/>
    <w:rsid w:val="64F425BA"/>
    <w:rsid w:val="6DB30807"/>
    <w:rsid w:val="6F51552C"/>
    <w:rsid w:val="71265794"/>
    <w:rsid w:val="721675B7"/>
    <w:rsid w:val="72245452"/>
    <w:rsid w:val="73981936"/>
    <w:rsid w:val="73A94138"/>
    <w:rsid w:val="73AF2E6B"/>
    <w:rsid w:val="741D504A"/>
    <w:rsid w:val="74AA048A"/>
    <w:rsid w:val="769C30B7"/>
    <w:rsid w:val="774E700A"/>
    <w:rsid w:val="79EF8EE7"/>
    <w:rsid w:val="7B362A78"/>
    <w:rsid w:val="7EF74642"/>
    <w:rsid w:val="7F5B6984"/>
    <w:rsid w:val="DDD7BFD8"/>
    <w:rsid w:val="FDE7B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1533</Words>
  <Characters>1543</Characters>
  <Lines>0</Lines>
  <Paragraphs>0</Paragraphs>
  <TotalTime>40</TotalTime>
  <ScaleCrop>false</ScaleCrop>
  <LinksUpToDate>false</LinksUpToDate>
  <CharactersWithSpaces>1550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2025-11-21T14:51:00Z</dcterms:created>
  <dc:creator>user</dc:creator>
  <cp:lastModifiedBy>dingjie</cp:lastModifiedBy>
  <cp:lastPrinted>2025-11-27T06:40:00Z</cp:lastPrinted>
  <dcterms:modified xsi:type="dcterms:W3CDTF">2025-12-15T05:45:14Z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KSOTemplateDocerSaveRecord">
    <vt:lpwstr>eyJoZGlkIjoiMjI5MzJkNWZmM2ZmZDlmM2ZiYmI5ZjNmMzM3NzY2OWIiLCJ1c2VySWQiOiI0MzYzMDI1NTAifQ==</vt:lpwstr>
  </property>
  <property fmtid="{D5CDD505-2E9C-101B-9397-08002B2CF9AE}" pid="4" name="ICV">
    <vt:lpwstr>A4050E862368B80491853A69D26EF0C4</vt:lpwstr>
  </property>
</Properties>
</file>