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9</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default" w:ascii="Times New Roman" w:hAnsi="Times New Roman" w:eastAsia="楷体_GB2312" w:cs="Times New Roman"/>
          <w:spacing w:val="-14"/>
          <w:sz w:val="28"/>
          <w:szCs w:val="24"/>
          <w:u w:val="single" w:color="FF0000"/>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4</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重要动态</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上海市国资委发布国资并购基金矩阵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近日，在2025上海全球投资促进大会上，上海市国资委正式发布国资并购基金矩阵，总规模达到500亿元以上，将聚焦国有经济布局优化、结构调整和本市重点产业领域强链补链，发挥国有资本引领带动作用。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落实全国两会精神，响应《上海市支持上市公司并购重组行动方案（2025—2027年）》，上海国资国企紧抓市场战略机遇期，加快组建国资并购基金矩阵，与社会资本开放合作，完善上海并购市场生态，进一步提升新质生产力能级。力争到2027年，做强做大8-10家具有核心竞争力的上市公司，形成并购交易规模超3000亿元，努力推动本市国有经济布局更加优化、重点产业能级显著提升、产业创新持续增强，更好服务上海经济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市国资委党委书记、主任贺青表示，组建国资并购基金矩阵是深入实施上海国企改革深化提升行动的重要举措，将聚焦增强核心功能，围绕加快新兴产业前瞻布局和推动传统产业转型升级开展一批高质量并购，推进相关产业整合与升级，打造重点领域龙头企业。在政策机制上，将优化国有资产评估管理，提高重点项目国资并购审批效率，持续健全完善国资股权投资基金绩效评价机制和容错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新组建的国资并购基金矩阵主要由市属国有龙头企业、金融机构、平台公司发起，涉及多个重点领域。</w:t>
      </w:r>
      <w:r>
        <w:rPr>
          <w:rFonts w:hint="eastAsia" w:ascii="Times New Roman" w:hAnsi="Times New Roman" w:eastAsia="仿宋_GB2312" w:cs="Times New Roman"/>
          <w:b/>
          <w:bCs/>
          <w:sz w:val="32"/>
          <w:szCs w:val="32"/>
          <w:lang w:val="en-US" w:eastAsia="zh-CN"/>
        </w:rPr>
        <w:t>在国资国企改革相关领域，</w:t>
      </w:r>
      <w:r>
        <w:rPr>
          <w:rFonts w:hint="eastAsia" w:ascii="Times New Roman" w:hAnsi="Times New Roman" w:eastAsia="仿宋_GB2312" w:cs="Times New Roman"/>
          <w:sz w:val="32"/>
          <w:szCs w:val="32"/>
          <w:lang w:val="en-US" w:eastAsia="zh-CN"/>
        </w:rPr>
        <w:t>聚焦培育发展战略性新兴产业，促进传统产业数智化绿色化转型。</w:t>
      </w:r>
      <w:r>
        <w:rPr>
          <w:rFonts w:hint="eastAsia" w:ascii="Times New Roman" w:hAnsi="Times New Roman" w:eastAsia="仿宋_GB2312" w:cs="Times New Roman"/>
          <w:b/>
          <w:bCs/>
          <w:sz w:val="32"/>
          <w:szCs w:val="32"/>
          <w:lang w:val="en-US" w:eastAsia="zh-CN"/>
        </w:rPr>
        <w:t>在集成电路相关领域，</w:t>
      </w:r>
      <w:r>
        <w:rPr>
          <w:rFonts w:hint="eastAsia" w:ascii="Times New Roman" w:hAnsi="Times New Roman" w:eastAsia="仿宋_GB2312" w:cs="Times New Roman"/>
          <w:sz w:val="32"/>
          <w:szCs w:val="32"/>
          <w:lang w:val="en-US" w:eastAsia="zh-CN"/>
        </w:rPr>
        <w:t>聚焦集成电路装备、设计、材料、零部件等领域，以全球化视角关注境内外优质标的。</w:t>
      </w:r>
      <w:r>
        <w:rPr>
          <w:rFonts w:hint="eastAsia" w:ascii="Times New Roman" w:hAnsi="Times New Roman" w:eastAsia="仿宋_GB2312" w:cs="Times New Roman"/>
          <w:b/>
          <w:bCs/>
          <w:sz w:val="32"/>
          <w:szCs w:val="32"/>
          <w:lang w:val="en-US" w:eastAsia="zh-CN"/>
        </w:rPr>
        <w:t>在生物医药相关领域，</w:t>
      </w:r>
      <w:r>
        <w:rPr>
          <w:rFonts w:hint="eastAsia" w:ascii="Times New Roman" w:hAnsi="Times New Roman" w:eastAsia="仿宋_GB2312" w:cs="Times New Roman"/>
          <w:sz w:val="32"/>
          <w:szCs w:val="32"/>
          <w:lang w:val="en-US" w:eastAsia="zh-CN"/>
        </w:rPr>
        <w:t>定位于“链接全球、服务上海”，聚焦解决生物医药“卡脖子”问题，加快构建生物医药“科技+金融+产业”协同发展模式。</w:t>
      </w:r>
      <w:r>
        <w:rPr>
          <w:rFonts w:hint="eastAsia" w:ascii="Times New Roman" w:hAnsi="Times New Roman" w:eastAsia="仿宋_GB2312" w:cs="Times New Roman"/>
          <w:b/>
          <w:bCs/>
          <w:sz w:val="32"/>
          <w:szCs w:val="32"/>
          <w:lang w:val="en-US" w:eastAsia="zh-CN"/>
        </w:rPr>
        <w:t>在高端装备、民用航空、商业航天相关领域，</w:t>
      </w:r>
      <w:r>
        <w:rPr>
          <w:rFonts w:hint="eastAsia" w:ascii="Times New Roman" w:hAnsi="Times New Roman" w:eastAsia="仿宋_GB2312" w:cs="Times New Roman"/>
          <w:sz w:val="32"/>
          <w:szCs w:val="32"/>
          <w:lang w:val="en-US" w:eastAsia="zh-CN"/>
        </w:rPr>
        <w:t>聚集龙头企业产业链上下游，对相关优质标的进行并购，形成具有全球竞争力的产业集聚区。</w:t>
      </w:r>
      <w:r>
        <w:rPr>
          <w:rFonts w:hint="eastAsia" w:ascii="Times New Roman" w:hAnsi="Times New Roman" w:eastAsia="仿宋_GB2312" w:cs="Times New Roman"/>
          <w:b/>
          <w:bCs/>
          <w:sz w:val="32"/>
          <w:szCs w:val="32"/>
          <w:lang w:val="en-US" w:eastAsia="zh-CN"/>
        </w:rPr>
        <w:t>在消费产业相关领域，</w:t>
      </w:r>
      <w:r>
        <w:rPr>
          <w:rFonts w:hint="eastAsia" w:ascii="Times New Roman" w:hAnsi="Times New Roman" w:eastAsia="仿宋_GB2312" w:cs="Times New Roman"/>
          <w:sz w:val="32"/>
          <w:szCs w:val="32"/>
          <w:lang w:val="en-US" w:eastAsia="zh-CN"/>
        </w:rPr>
        <w:t>重点布局品牌与生活方式、消费体验服务、医疗健康、消费科技等方向，通过投资并购有效赋能消费产业高质量增长。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前期，上海市国资委已先后出台《市国资委监管企业私募股权投资基金业务管理办法》和《市国资委监管企业私募股权投资基金考核评价及尽职免责试行办法》，强化基金分类监管和实控基金管理人管理，提出对基金包括并购基金进行整体投资组合和长周期考核评价，引导国资基金在科技创新、产业升级中发挥更大作用。截至2024年底，国资存量基金优化整合完成进度已经超过60%，盘活约400亿元资金投入新设基金。（上海市国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default" w:ascii="Times New Roman" w:hAnsi="Times New Roman" w:cs="Times New Roman"/>
        </w:rPr>
      </w:pPr>
      <w:r>
        <w:rPr>
          <w:rFonts w:hint="default" w:ascii="Times New Roman" w:hAnsi="Times New Roman" w:eastAsia="楷体_GB2312" w:cs="Times New Roman"/>
          <w:b/>
          <w:bCs/>
          <w:sz w:val="32"/>
          <w:szCs w:val="32"/>
          <w:lang w:eastAsia="zh-CN"/>
        </w:rPr>
        <w:t>金融工作</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浦发银行发布“人工智能+”实践成果</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锻造高质量发展新引擎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人工智能是新一轮科技革命和产业变革的重要驱动力量。日前，浦发银行举办以“数绘浦发 智启未来”为主题的“人工智能+”发布会。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是浦发银行“数智化”战略提升年。浦发银行“人工智能+”规划将全力打造金融科技核心竞争力，大力推动AI技术与金融服务的深度融合，以科技创新为动力、以应用需求为导向、以人才培养为支撑，打造新质生产力，加速数字金融智能升级，充分发挥数据要素乘数效应，为客户创造价值，为金融行业发展贡献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上，浦发银行发布《“人工智能+”应用规划白皮书1.0》。白皮书立足金融科技发展前沿，全面介绍浦发银行大模型应用体系，系统化阐述基础工程、知识资产、应用创设和安全管理等方面的技术探索和实践方案。近年来，浦发银行遵循数智化战略，构建千亿级企业级知识资产库，塑造智慧营销、数智风控、智能服务、高效运营和智能管理五大类超200个数字员工应用场景，全面提升客户洞察、行业研究、财务分析及报告写作等数智能力，赋能五篇大文章，实现“人工智能+”时代下的银行业务新模式和智慧金融新业态，持续提升浦发银行金融服务智能化水平及行业创新引领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数据要素是银行业务发展的核心动力。浦发银行联合信通院云大所、上海财经大学和上海数据交易所共同推出《商业银行数据经营管理实践报告》。报告以数据要素为核心驱动，体系化阐述数据经营管理的关键活动和建设目标及浦发银行的创新思路和方法，盘点发布浦发银行外部数据产品手册，为商业银行探索数据经营管理体系建设提供借鉴和参考指导。通过数据经营管理，推动“数据要素</w:t>
      </w:r>
      <w:r>
        <w:rPr>
          <w:rFonts w:hint="default" w:ascii="Arial" w:hAnsi="Arial" w:eastAsia="仿宋_GB2312" w:cs="Arial"/>
          <w:sz w:val="32"/>
          <w:szCs w:val="32"/>
          <w:lang w:val="en-US" w:eastAsia="zh-CN"/>
        </w:rPr>
        <w:t>×</w:t>
      </w:r>
      <w:r>
        <w:rPr>
          <w:rFonts w:hint="eastAsia" w:ascii="Times New Roman" w:hAnsi="Times New Roman" w:eastAsia="仿宋_GB2312" w:cs="Times New Roman"/>
          <w:sz w:val="32"/>
          <w:szCs w:val="32"/>
          <w:lang w:val="en-US" w:eastAsia="zh-CN"/>
        </w:rPr>
        <w:t>金融服务”深度融合，提升金融五篇大文章服务质效，激活金融高质量发展新动能。（浦发银行）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bookmarkStart w:id="0" w:name="_GoBack"/>
      <w:bookmarkEnd w:id="0"/>
    </w:p>
    <w:p>
      <w:pPr>
        <w:keepNext w:val="0"/>
        <w:keepLines w:val="0"/>
        <w:widowControl/>
        <w:suppressLineNumbers w:val="0"/>
        <w:spacing w:before="157" w:beforeLines="50" w:after="157" w:afterLines="50"/>
        <w:jc w:val="cente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000000"/>
          <w:spacing w:val="0"/>
          <w:kern w:val="0"/>
          <w:sz w:val="36"/>
          <w:szCs w:val="36"/>
          <w:shd w:val="clear" w:color="auto" w:fill="FFFFFF"/>
          <w:lang w:val="en-US" w:eastAsia="zh-CN" w:bidi="ar"/>
        </w:rPr>
        <w:t>汇添富上海地产租赁住房REIT上市</w:t>
      </w:r>
    </w:p>
    <w:p>
      <w:pPr>
        <w:keepNext w:val="0"/>
        <w:keepLines w:val="0"/>
        <w:widowControl/>
        <w:suppressLineNumbers w:val="0"/>
        <w:spacing w:before="157" w:beforeLines="5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i w:val="0"/>
          <w:iCs w:val="0"/>
          <w:caps w:val="0"/>
          <w:color w:val="000000"/>
          <w:spacing w:val="0"/>
          <w:kern w:val="0"/>
          <w:sz w:val="36"/>
          <w:szCs w:val="36"/>
          <w:shd w:val="clear" w:color="auto" w:fill="FFFFFF"/>
          <w:lang w:val="en-US" w:eastAsia="zh-CN" w:bidi="ar"/>
        </w:rPr>
        <w:t>上海地产集团探索优质资产证券化路径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近日</w:t>
      </w:r>
      <w:r>
        <w:rPr>
          <w:rFonts w:hint="eastAsia" w:ascii="Times New Roman" w:hAnsi="Times New Roman" w:eastAsia="仿宋_GB2312" w:cs="Times New Roman"/>
          <w:sz w:val="32"/>
          <w:szCs w:val="32"/>
        </w:rPr>
        <w:t>，全国首单“商改保”REITs——汇添富上海地产租赁住房封闭式基础设施证券投资基金（简称“汇添富上海地产租赁住房REIT”）上市。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汇添富上海地产租赁住房REIT于今年3月5日正式获批，成为全国首个获批的“商改保”REITs；3月13日完成网下询价，网下询价倍数达180.74倍，创2023年以来公募REITs市场新高。3月18日完成募集发行，公众认购倍数达494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上海地产集团通过REITs这一创新模式将旗下优质保障性租赁住房资产与资本市场紧密连接，盘活存量扩大保障性租赁住房供应规模，让更多新市民、青年人享有品质生活、感受城市温度。未来，上海地产集团还将继续深耕REITs领域，积极探索更多优质资产的证券化路径，践行社会责任，为服务上海人才引领发展战略、提升城市竞争力和软实力提供支撑保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该产品不仅是公募基金行业践行普惠金融、满足居民多元化投资需求的优质产品，也是盘活上海存量租赁住房资产、助力国企改革深化提升行动的重要平台，更为资本市场服务国家战略、支持住房保障体系改革树立了创新样板。上海地产集团将携手汇添富，全力以赴将产品打造成为公募REITs市场新标杆。</w:t>
      </w:r>
      <w:r>
        <w:rPr>
          <w:rFonts w:hint="eastAsia" w:ascii="Times New Roman" w:hAnsi="Times New Roman" w:eastAsia="仿宋_GB2312" w:cs="Times New Roman"/>
          <w:sz w:val="32"/>
          <w:szCs w:val="32"/>
          <w:lang w:eastAsia="zh-CN"/>
        </w:rPr>
        <w:t>（上海地产集团）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上海建工与机器人“伙伴”合力打造浦东机场四期工程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上海建工在浦东国际机场四期扩建工程施工现场，量身定制了37款建筑机器人。从混凝土地坪到高空作业，从智能巡检到全能焊接，机器人们为机场建设注入了硬核动力。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混凝土地坪施工中，四轮激光整平机器人、履带抹平机器人、地面抹光机器人在混凝土浇筑后，开始进行整平、收面、抹光等施工作业，日均可处理千余平方米地坪，平整度误差控制在毫米级，预计将进行70万平方米的结构和建筑地坪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空调机房、板交机房的管道预制中，多台管道预制自动焊接机器人、大口径管道全位置焊接机器人，用于航站区管廊内DN1700规格的超大口径管道焊接。相较于传统人工焊接，机器人施工品质更加稳定，施工效率大幅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后续钢结构施工阶段，针对现场飞鸟柱、楼前高架面板、过街楼桁架层等复杂部位，上海建工将融合应用多款焊接机器人，包括直轨道焊接机器人、圆轨道焊接机器人、无轨道全位置爬行焊接机器人等，他们都可以通过磁吸爬行进行水平旋转、倾斜角度等复杂的钢构件焊接，避免作业人员直接接触高温、有害气体和飞溅火花等危险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传统登高作业环节，也有机器人来助力。“高空作业”机器人系列可完成喷涂装饰、幕墙淋水试验、维保清洁等工作。智能塔机在不破坏原有塔吊系统和结构的前提下，可实现自动驾驶、自主路径规划、自动建模、智能避障、群塔协同、全过程数据管理等功能，可大幅降低作业人员的安全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未来，上海建工还将基于数字化管控平台，利用物联网、BIM、人工智能等新一代信息技术，对各类机器人的使用方案、后台数据等进行融合管理，让机器人快速成长为值得信赖的“伙伴”。（上海建工）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Lines="0" w:after="157" w:afterLines="50"/>
        <w:jc w:val="cente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2025上海帆船公开赛举行</w:t>
      </w:r>
    </w:p>
    <w:p>
      <w:pPr>
        <w:keepNext w:val="0"/>
        <w:keepLines w:val="0"/>
        <w:widowControl/>
        <w:suppressLineNumbers w:val="0"/>
        <w:spacing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东浩兰生集团提升赛事全球影响力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eastAsia="zh-CN" w:bidi="ar"/>
        </w:rPr>
        <w:t>日前</w:t>
      </w:r>
      <w:r>
        <w:rPr>
          <w:rFonts w:hint="eastAsia" w:ascii="Times New Roman" w:hAnsi="Times New Roman" w:eastAsia="仿宋_GB2312" w:cs="Times New Roman"/>
          <w:sz w:val="32"/>
          <w:szCs w:val="32"/>
          <w:lang w:bidi="ar"/>
        </w:rPr>
        <w:t>，东浩兰生集团参与主办的2025上海帆船公开赛在黄浦江畔举行。</w:t>
      </w:r>
      <w:r>
        <w:rPr>
          <w:rFonts w:hint="eastAsia" w:ascii="Times New Roman" w:hAnsi="Times New Roman" w:eastAsia="仿宋_GB2312" w:cs="Times New Roman"/>
          <w:sz w:val="32"/>
          <w:szCs w:val="32"/>
          <w:lang w:eastAsia="zh-CN" w:bidi="ar"/>
        </w:rPr>
        <w:t>本届赛事共有31条ILCA6级帆船、25条ILCA7级帆船及30条J80级帆船参赛，总人数约300人。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eastAsia="zh-CN" w:bidi="ar"/>
        </w:rPr>
        <w:t>在今年参赛的30支J80队伍中，国际队伍主动报名参赛的数量较去年举办的首届赛事明显增加。越来越多国际企业将目光聚焦上海，在上海这片充满活力的水域上同场竞技、交流切磋，上帆的“国际朋友圈”正越来越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eastAsia="zh-CN" w:bidi="ar"/>
        </w:rPr>
        <w:t>今年，东浩兰生集团积极推动上帆在文旅商体展的融合发展上迈出新步伐，与临港新片区的酒店、文旅、商业等相关机构展开了紧密合作，特别定制了“上帆临港观赛套餐”，涵盖赛事门票、酒店住宿、景点门票、商业消费等各项优惠，为前去观赛的市民提供更加便利的出行服务和更好的观赛体验，进一步推动体育赛事和区域文旅资源的深度融合。（东浩兰生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beforeLines="0" w:after="157" w:afterLines="50" w:line="240" w:lineRule="auto"/>
        <w:ind w:firstLine="0" w:firstLineChars="0"/>
        <w:jc w:val="center"/>
        <w:textAlignment w:val="auto"/>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东方国际聚焦智能科技</w:t>
      </w:r>
    </w:p>
    <w:p>
      <w:pPr>
        <w:keepNext w:val="0"/>
        <w:keepLines w:val="0"/>
        <w:pageBreakBefore w:val="0"/>
        <w:widowControl/>
        <w:kinsoku/>
        <w:wordWrap/>
        <w:overflowPunct/>
        <w:topLinePunct w:val="0"/>
        <w:autoSpaceDE/>
        <w:autoSpaceDN/>
        <w:bidi w:val="0"/>
        <w:adjustRightInd/>
        <w:snapToGrid/>
        <w:spacing w:beforeLines="0" w:after="157" w:afterLines="50" w:line="240" w:lineRule="auto"/>
        <w:ind w:firstLine="0" w:firstLineChars="0"/>
        <w:jc w:val="center"/>
        <w:textAlignment w:val="auto"/>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助力2025秋冬上海时装周开秀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bidi="ar"/>
        </w:rPr>
        <w:t>近</w:t>
      </w:r>
      <w:r>
        <w:rPr>
          <w:rFonts w:hint="eastAsia" w:ascii="Times New Roman" w:hAnsi="Times New Roman" w:eastAsia="仿宋_GB2312" w:cs="Times New Roman"/>
          <w:sz w:val="32"/>
          <w:szCs w:val="32"/>
          <w:lang w:bidi="ar"/>
        </w:rPr>
        <w:t>日，由东方国际协办的2025秋冬上海时装周在新天地秀场正式拉开帷幕。本季时装周以“质塑新境·建所未见”为主题，通过近百场发布首秀和近千个品牌订货首展，以及覆盖各大时尚地标的创新首发活动，全方位展现出上海作为“首发经济”集聚地的强大吸附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eastAsia="zh-CN" w:bidi="ar"/>
        </w:rPr>
        <w:t>作为本次时装周的亮点之一，东方国际旗下的东方MOD+时尚科技产业空间与宇树机器人携手亮相上海时装周，宇树机器人身着定制服装，首次登上T台，与模特们共同演绎了一场未来感十足的时装秀。此次与宇树机器人的合作，是东方MOD+在时尚与科技融合领域的一次大胆尝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i w:val="0"/>
          <w:iCs w:val="0"/>
          <w:caps w:val="0"/>
          <w:spacing w:val="0"/>
          <w:kern w:val="0"/>
          <w:sz w:val="32"/>
          <w:szCs w:val="32"/>
          <w:lang w:val="en-US" w:eastAsia="zh-CN" w:bidi="ar"/>
        </w:rPr>
        <w:t>作为星海时尚科技集团打造的产业空间标杆，东方MOD+以“打破自然、人类与机器的界限”为核心理念</w:t>
      </w:r>
      <w:r>
        <w:rPr>
          <w:rFonts w:hint="eastAsia" w:ascii="Times New Roman" w:hAnsi="Times New Roman" w:eastAsia="仿宋_GB2312" w:cs="Times New Roman"/>
          <w:sz w:val="32"/>
          <w:szCs w:val="32"/>
          <w:lang w:eastAsia="zh-CN" w:bidi="ar"/>
        </w:rPr>
        <w:t>，将与复旦大学人工智能领域的合作，</w:t>
      </w:r>
      <w:r>
        <w:rPr>
          <w:rFonts w:hint="eastAsia" w:ascii="Times New Roman" w:hAnsi="Times New Roman" w:eastAsia="仿宋_GB2312" w:cs="Times New Roman"/>
          <w:i w:val="0"/>
          <w:iCs w:val="0"/>
          <w:caps w:val="0"/>
          <w:spacing w:val="0"/>
          <w:kern w:val="0"/>
          <w:sz w:val="32"/>
          <w:szCs w:val="32"/>
          <w:lang w:val="en-US" w:eastAsia="zh-CN" w:bidi="ar"/>
        </w:rPr>
        <w:t>共建“AI时尚产业创新基地”，推动3D数字设计、智能供应链管理等技术在时尚产业落地。</w:t>
      </w:r>
      <w:r>
        <w:rPr>
          <w:rFonts w:hint="eastAsia" w:ascii="Times New Roman" w:hAnsi="Times New Roman" w:eastAsia="仿宋_GB2312" w:cs="Times New Roman"/>
          <w:sz w:val="32"/>
          <w:szCs w:val="32"/>
          <w:lang w:eastAsia="zh-CN" w:bidi="ar"/>
        </w:rPr>
        <w:t>（东方国际）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beforeLines="0" w:after="157" w:afterLines="50" w:line="240" w:lineRule="auto"/>
        <w:ind w:firstLine="0" w:firstLineChars="0"/>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久事集团下属交通卡公司拓展服务新领域</w:t>
      </w:r>
    </w:p>
    <w:p>
      <w:pPr>
        <w:keepNext w:val="0"/>
        <w:keepLines w:val="0"/>
        <w:pageBreakBefore w:val="0"/>
        <w:widowControl/>
        <w:kinsoku/>
        <w:wordWrap/>
        <w:overflowPunct/>
        <w:topLinePunct w:val="0"/>
        <w:autoSpaceDE/>
        <w:autoSpaceDN/>
        <w:bidi w:val="0"/>
        <w:adjustRightInd/>
        <w:snapToGrid/>
        <w:spacing w:beforeLines="0" w:after="157" w:afterLines="50" w:line="240" w:lineRule="auto"/>
        <w:ind w:firstLine="0" w:firstLineChars="0"/>
        <w:jc w:val="center"/>
        <w:textAlignment w:val="auto"/>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沪港两地交通卡开启互联互通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bidi="ar"/>
        </w:rPr>
        <w:t>日前，</w:t>
      </w:r>
      <w:r>
        <w:rPr>
          <w:rFonts w:hint="eastAsia" w:ascii="Times New Roman" w:hAnsi="Times New Roman" w:eastAsia="仿宋_GB2312" w:cs="Times New Roman"/>
          <w:sz w:val="32"/>
          <w:szCs w:val="32"/>
          <w:lang w:bidi="ar"/>
        </w:rPr>
        <w:t>久事集团深入贯彻上海扩大开放水平和提升服务质量的工作要求，旗下交通卡公司“互联互通产品”拓展服务新领域</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bidi="ar"/>
        </w:rPr>
        <w:t>通过交通互联互通助力沪港两地交流与合作，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bidi="ar"/>
        </w:rPr>
        <w:t>近日，香港港铁正式加入全国交通一卡通互联互通体系</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bidi="ar"/>
        </w:rPr>
        <w:t>上海市民可凭带有“交通联合”标识的上海交通卡（含实体交通卡、NFC手机卡），在港铁系统内贴有“交通联合”标志的闸机便捷刷卡乘车，畅行香港各地，无需另行购票或兑换港币，真正实现</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bidi="ar"/>
        </w:rPr>
        <w:t>一卡通行</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bidi="ar"/>
        </w:rPr>
        <w:t>的便利出行体验。</w:t>
      </w:r>
      <w:r>
        <w:rPr>
          <w:rFonts w:hint="eastAsia" w:ascii="Times New Roman" w:hAnsi="Times New Roman" w:eastAsia="仿宋_GB2312" w:cs="Times New Roman"/>
          <w:sz w:val="32"/>
          <w:szCs w:val="32"/>
          <w:lang w:eastAsia="zh-CN" w:bidi="ar"/>
        </w:rPr>
        <w:t>此外，香港居民也可以使用带有“交通联合”标识的“八达通”卡，在上海的公交、地铁、轮渡等公共交通系统中便捷出行。此次沪港两地实现交通卡互联互通，为上海市民和香港居民提供了出行便利，为促进两地居民的文化与旅游交流打下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eastAsia="zh-CN" w:bidi="ar"/>
        </w:rPr>
        <w:t>全国交通一卡通互联互通自启动以来，已实现336个地级以上城市和1700多个县区的互联互通，服务范围覆盖公交、地铁、轮渡等多种公共交通方式，极大地方便了市民跨市域出行。继去年12月澳门加入互联互通后，此次香港的加入，将进一步为香港、澳门特区与内地在经济、文化交流以及民众间的互动往来等方面创造更加有利的条件。（久事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p>
    <w:p>
      <w:pPr>
        <w:keepNext w:val="0"/>
        <w:keepLines w:val="0"/>
        <w:widowControl/>
        <w:suppressLineNumbers w:val="0"/>
        <w:spacing w:before="157" w:beforeLines="5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color w:val="auto"/>
          <w:sz w:val="36"/>
          <w:szCs w:val="36"/>
          <w:shd w:val="clear" w:color="auto" w:fill="FFFFFF"/>
          <w:lang w:bidi="ar"/>
        </w:rPr>
        <w:t>申能财险创新产品赋能绿色航运保险体系建设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近日，申能财险聚焦做好绿色金融大文章，成功开发国内首个LNG（液化天然气）气源质量责任保险产品，并率先携手上港集团落地相关保险项目，标志着申能财险积极构建“质量+绿色”双重保障机制，助力</w:t>
      </w:r>
      <w:r>
        <w:rPr>
          <w:rFonts w:hint="eastAsia" w:ascii="Times New Roman" w:hAnsi="Times New Roman" w:eastAsia="仿宋_GB2312" w:cs="Times New Roman"/>
          <w:sz w:val="32"/>
          <w:szCs w:val="32"/>
          <w:lang w:eastAsia="zh-CN" w:bidi="ar"/>
        </w:rPr>
        <w:t>国家</w:t>
      </w:r>
      <w:r>
        <w:rPr>
          <w:rFonts w:hint="eastAsia" w:ascii="Times New Roman" w:hAnsi="Times New Roman" w:eastAsia="仿宋_GB2312" w:cs="Times New Roman"/>
          <w:sz w:val="32"/>
          <w:szCs w:val="32"/>
          <w:lang w:bidi="ar"/>
        </w:rPr>
        <w:t>绿色航运保险体系建设取得重要突破，在服务上海国际航运中心建设的同时，为全球航运业低碳转型提供“中国方案”。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eastAsia="zh-CN" w:bidi="ar"/>
        </w:rPr>
        <w:t>据悉，在“双碳”目标指引下，申能财险充分依托申能集团在能源主业的资源禀赋与属地服务优势，精准对接市场需求，创新绿色金融产品，在绿色保险领域打造特色。此次推出的LNG气源质量责任保险创新产品，开创性地将质量风险保障与绿色金融支持有机结合，通过定制化保险方案破解LNG能源应用中“质量管控难、风险转嫁弱”的行业痛点，为航运企业绿色转型提供全周期风险管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eastAsia="zh-CN" w:bidi="ar"/>
        </w:rPr>
        <w:t>该项目的成功落地，是落实国家金融监督管理总局、中国人民银行关于《银行业保险业绿色金融高质量发展实施方案》的具体实践，不仅为企业提供清洁能源应用保障，同时也构建起可复制推广的“航运+保险+绿色”服务模式，为加快上海国际航运中心建设，提升航运资源全球配置能力保驾护航。</w:t>
      </w:r>
    </w:p>
    <w:p>
      <w:pPr>
        <w:widowControl w:val="0"/>
        <w:spacing w:line="600" w:lineRule="exact"/>
        <w:ind w:firstLine="64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bidi="ar"/>
        </w:rPr>
        <w:t>聚焦深化绿色保险战略布局，申能财险将持续创新绿色保险产品、提升服务能级，为我国绿色能源产业发展和航运业低碳转型贡献更多申能力量，以金融“含绿量”提升发展“含金量”。（申能集团）</w:t>
      </w: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 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730B"/>
    <w:rsid w:val="0A971B3B"/>
    <w:rsid w:val="10230ECA"/>
    <w:rsid w:val="1BC55C71"/>
    <w:rsid w:val="1C012633"/>
    <w:rsid w:val="1D981EDF"/>
    <w:rsid w:val="1FFFF9CE"/>
    <w:rsid w:val="24C743FC"/>
    <w:rsid w:val="25097D46"/>
    <w:rsid w:val="2666515F"/>
    <w:rsid w:val="300D329E"/>
    <w:rsid w:val="301B7493"/>
    <w:rsid w:val="30290226"/>
    <w:rsid w:val="3FCB3B58"/>
    <w:rsid w:val="42CA1BFE"/>
    <w:rsid w:val="49F1532D"/>
    <w:rsid w:val="4E0A31AD"/>
    <w:rsid w:val="53632B61"/>
    <w:rsid w:val="5AF067D6"/>
    <w:rsid w:val="5C992FBD"/>
    <w:rsid w:val="7298684C"/>
    <w:rsid w:val="76675694"/>
    <w:rsid w:val="77D56B93"/>
    <w:rsid w:val="9F6744C2"/>
    <w:rsid w:val="BBEF2C9E"/>
    <w:rsid w:val="F6FFF0E2"/>
    <w:rsid w:val="F7746C10"/>
    <w:rsid w:val="FF17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2025-03-31T18:28:00Z</dcterms:created>
  <dc:creator>user</dc:creator>
  <cp:lastModifiedBy>user</cp:lastModifiedBy>
  <dcterms:modified xsi:type="dcterms:W3CDTF">2025-04-01T10:26:14Z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99988E8DCF6DE09005BCEB6719108809</vt:lpwstr>
  </property>
</Properties>
</file>