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6</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4</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7</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val="en-US" w:eastAsia="zh-CN"/>
        </w:rPr>
      </w:pPr>
      <w:r>
        <w:rPr>
          <w:rFonts w:hint="eastAsia" w:ascii="Times New Roman" w:hAnsi="Times New Roman" w:eastAsia="楷体_GB2312"/>
          <w:b/>
          <w:bCs/>
          <w:color w:val="auto"/>
          <w:sz w:val="32"/>
          <w:szCs w:val="32"/>
          <w:lang w:val="en-US" w:eastAsia="zh-CN"/>
        </w:rPr>
        <w:t>重要动态</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市国资委召开上海国有企业改革深化提升行动</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工作推进会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近日，市国资委召开上海国有企业改革深化提升行动工作推进会。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会议指出，国有企业改革深化提升行动是习近平总书记亲自谋划、亲自部署、亲自推动的新时代新征程国资国企重大政治任务。要认真贯彻落实中央和市委决策部署，高起点谋划推动改革深化提升行动。坚持向改革要动力，以更高站位、更宽视野、更大力度把国企改革引向深入，更好地履行新时代新征程国资国企新使命。要聚焦重点问题，高站位准确把握改革深化提升行动核心要义。处理好功能使命性改革任务和体制机制性改革任务的关系，处理好统筹推进和分层分类改革的关系。要狠抓落实落地，高标准实现重点领域和关键环节改革深化提升目标。强化组织推进，确保落地见效；加强宣贯培训，确保改革穿透，直达基层。</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会议解读了《上海市贯彻〈国有企业改革深化提升行动方案（2023-2025年）〉的实施方案》，通报了本市国企改革深化提升行动有关进展情况。上海电气、上港集团和浦东新区国资委分别围绕科技创新和产业控制、服务落实上海国际航运中心建设战略任务、区属国资国企实施改革深化提升行动作交流发言。（上海市国资委）</w:t>
      </w:r>
    </w:p>
    <w:p>
      <w:pPr>
        <w:pStyle w:val="2"/>
        <w:rPr>
          <w:rFonts w:hint="eastAsia"/>
          <w:lang w:val="en-US" w:eastAsia="zh-CN"/>
        </w:rPr>
      </w:pP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val="en-US" w:eastAsia="zh-CN"/>
        </w:rPr>
      </w:pPr>
      <w:r>
        <w:rPr>
          <w:rFonts w:hint="eastAsia" w:ascii="Times New Roman" w:hAnsi="Times New Roman" w:eastAsia="楷体_GB2312"/>
          <w:b/>
          <w:bCs/>
          <w:color w:val="auto"/>
          <w:sz w:val="32"/>
          <w:szCs w:val="32"/>
          <w:lang w:val="en-US" w:eastAsia="zh-CN"/>
        </w:rPr>
        <w:t>金融工作</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专注与创新并举</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val="en-US" w:eastAsia="zh-CN" w:bidi="ar"/>
        </w:rPr>
      </w:pPr>
      <w:r>
        <w:rPr>
          <w:rFonts w:hint="eastAsia" w:ascii="Times New Roman" w:hAnsi="Times New Roman" w:eastAsia="华文中宋" w:cs="华文中宋"/>
          <w:color w:val="auto"/>
          <w:sz w:val="36"/>
          <w:szCs w:val="36"/>
          <w:highlight w:val="none"/>
          <w:shd w:val="clear" w:color="auto" w:fill="FFFFFF"/>
          <w:lang w:val="en-US" w:eastAsia="zh-CN" w:bidi="ar"/>
        </w:rPr>
        <w:t>浦发银行助力上海城市更新提质增速</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城市更新是城市发展永恒的主题，也是落实“人民城市”重要理念的有效举措。浦发银行早在2019年便创新推出了城市更新贷款产品，先后支持了上海地区70余个旧区改造及城中村改造项目，牵头或参与的上海主要城中村、旧改项目银团总金额超过5000亿元，累计签约银团金额超过1600亿元。截至目前，浦发银行在上海地区城市更新贷款余额已超过800亿元。</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浦发银行将推动实施城市更新作为贯彻党的二十大精神、加快转变超大城市发展方式的重要举措。浦发银行通过深入研究国家及地方政策制度于2019年正式推出了首个城市更新管理办法，2023年浦发银行充分发挥领先优势，再次升级推出城市更新2.0方案，针对性解决企业在过往城市更新项目推进过程中所遇到的各类难点和痛点，提供全生命周期的整体解决方案。</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金融助力城市更新，注重保留市井“烟火气”。近日，浦发银行作为牵头行和代理行参与了上海市虹口区瑞康里城市更新项目银团。虹口区瑞康里城市更新试点项目是上海首个由政府牵头、企业运作，居民参与、保障独立，形式多样、租售兼容，新老共生、提升烟火，保护风貌、提高品质的可持续创新城市更新试点项目。浦发银行设计的授信方案着重关注项目本身对保留瑞康里原有建筑轮廓与风貌的要求，留住上海的“烟火气”和“人情味”。</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聚焦城中村改造，探索金融创新赋能。浦发银行积极响应关于“在超大特大城市积极稳步推进城中村改造”的要求。2023年，浦发银行以银团牵头行、代理行以及资金监管行身份成功参与并落地上海三林楔形绿地城中村改造地块城市更新银团贷款。本次银团贷款金额88亿元，其中浦发银行的份额达到44亿元。浦发银行凭借高效的审批效率及优质的授信方案成为该项目第一家授信获批银行。</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紧紧把握上海五个新城建设发展实际，浦发银行城市更新服务因地制宜打造“一城一策”专属的服务方案。2023年浦发银行作为联合牵头行成功落地了上海嘉定区首个新城示范项——“西门历史文化街区旧城区改造”项目。浦发银行的授信方案充分考虑了项目存在大量修旧如旧的保留保护工程，开发企业通过旧改地块和配套地块进行整体融资等实际需求。</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浦发银行将持续探索城市更新的未来路径，继续努力践行“人民城市人民建，人民城市为人民”的重要理念，坚持服务国家战略，主动助力地方经济发展，重点关注民生工程，为上海加快建设具有世界影响力的社会主义现代化国际大都市注入源源不断的金融活水。（浦发银行）</w:t>
      </w:r>
    </w:p>
    <w:p>
      <w:pPr>
        <w:pStyle w:val="2"/>
        <w:rPr>
          <w:rFonts w:hint="eastAsia"/>
          <w:lang w:val="en-US"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上海建工发布数字赋能6大应用场景</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推进面向建筑全生命周期的数字化转型</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上海建工发布数字赋能6大应用场景，涵盖设计、施工、运维、更新等建筑全生命周期各个阶段，具体包括市政设施数字设计、工艺数据链、公共建筑数字孪生智慧运维、历保建筑数字孪生平台、长三角绿色示范楼低碳智慧运维、建材科技绿色矿山等。</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数字设计——市政设施数字设计</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建工市政总院打造的市政设施数字设计场景，面向设计人员，提供模型驱动的数字设计服务，包括自主建设的云设计平台、构件库管理系统，标准库系统和知识仓库，为协同化设计提供了稳定、高效的数字化平台和资源。</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数字施工——工艺数据链</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工程研究总院和四建集团自主研发的工艺数据链，旨在通过数字化手段，对各个分部分项工程的施工工艺进行标准化表达，为施工技术和管理人员永久保留宝贵的工程实践经验，并用以指导深化设计、施工策划、工厂生产、现场管理和培训等关键环节，有效提升施工效率和质量。</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智慧运维——公共建筑数字孪生智慧运维</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四建集团面向智慧城市和“碳达峰碳中和”等需求，研发了建筑智慧运维系统，为业主和物业单位提供集成化、智慧化服务。该技术通过构建“人员-空间-系统”耦合的建筑数字孪生模型，运用大数据分析和AI算法，实现了机电系统主动式、预防性运维，空间环境精细化调控和高精度人员定位与安全管理</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有效提升运维效率，减少建筑运行能耗。</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历史建筑——历保建筑数字孪生平台</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四建集团紧密围绕历保建筑更新中历史文脉赓续、传统工艺传承、重点部位结构安全保障等需求，建立了面向上海市优秀历史建筑保护管理的数字孪生平台，旨在为历保建筑业主和主管部门提供数字化建档、三维模型查看、动态数据采集与智能分析、安全风险评估等功能，实现历史建筑保护业务的数字化、智能化。</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绿色建筑——长三角绿色示范楼低碳智慧运维</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长三角一体化绿色科技示范楼是由上海建工投资、策划、设计、建造、运维全产业链打造的绿色建筑。低碳智慧运维系统是该建筑的智慧大脑，集成了设备管理、能效管理、环境管理、安防和物业管理等应用模块；通过大数据技术，实现跨系统的数据融合、智能诊断和无人值守。</w:t>
      </w:r>
    </w:p>
    <w:p>
      <w:pPr>
        <w:widowControl/>
        <w:numPr>
          <w:ilvl w:val="-1"/>
          <w:numId w:val="0"/>
        </w:numPr>
        <w:ind w:firstLine="643"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绿色矿山——建材科技绿色矿山</w:t>
      </w:r>
      <w:r>
        <w:rPr>
          <w:rFonts w:hint="eastAsia" w:ascii="Times New Roman" w:hAnsi="Times New Roman" w:eastAsia="仿宋_GB2312" w:cs="宋体"/>
          <w:b/>
          <w:bCs/>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建材科技集团运用数字化技术赋能，把新开元石矿打造成为国家级绿色矿山，为矿山管理人员提供了智能化生产和管理手段。自主研发的一体化业务服务平台，实现了矿区地质地形图、爆破资料、钻探资料、岩石磨蚀性等基础数据的有机整合和展示；通过矿山大数据与自动化装备的深度融合，建立了“人-机-环”的虚实融合感知系统，实现了矿山安全生产状态的全面精准感知、风险分析与交互式处理，极大提升了生产效率，保障了安全生产。</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未来，在打造“数字化赋能的建筑全生命期服务商”战略指引下，上海建工集团将持续引进新一代信息技术，创新研发数字建造和智慧运维领域核心技术，打造一系列落地实用的数字赋能场景，在监管上实现精准高效，在赋能上实现智慧营造，提升工程一线效率和安全，推动建筑业数字化转型。</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上海建工</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ascii="Times New Roman" w:hAnsi="Times New Roman" w:eastAsia="仿宋_GB2312" w:cs="宋体"/>
          <w:i w:val="0"/>
          <w:caps w:val="0"/>
          <w:color w:val="auto"/>
          <w:spacing w:val="0"/>
          <w:sz w:val="32"/>
          <w:szCs w:val="32"/>
          <w:shd w:val="clear"/>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国内第一艘投运的甲醇加注船“海港致远”</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驶抵上海港，清洁能源中心建设取得新进展</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近日，国内第一艘投运的甲醇加注船“海港致远”轮驶抵上海港，为上海港清洁能源中心建设再添重要装备。</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港集团旗下“海港致远”轮于2023年9月22日实施改造，历时113天，增配了国际先进的甲醇加注设施，是目前世界上已投运的最大甲醇加注船，共有12个货舱，2个slop舱，货舱采用Marineline特涂，总舱容16000立方米。船舶总长139.98米，型深11.2米，型宽20.2米，具有安全、低蒸发率和环保等特点，是甲醇船舶运输和加注技术的创新集成，既能运输甲醇，又能为其他船舶及终端加注甲醇，可以为甲醇动力燃料的国际航行船舶提供“船对船”加注服务和支持集装箱同步装卸，大大节约国际班轮在港口的周转时间，为航运企业赢得环境与经济效益。“海港致远”轮甲醇加注船于1月12日完成改造工程及中间检验项目，成为继LNG加注船“海港未来”轮之后，上海港清洁能源中心建设进程中又一新的核心装备，将助推拓展绿色能源加注新领域，为上海港做大做强国际航行船舶清洁燃料加注服务打下坚实基础，进一步巩固上海集装箱枢纽港的国际领先地位，以港口服务能级提升赋能上海国际航运中心建设。</w:t>
      </w:r>
      <w:r>
        <w:rPr>
          <w:rFonts w:hint="eastAsia" w:ascii="Times New Roman" w:hAnsi="Times New Roman" w:eastAsia="仿宋_GB2312" w:cs="宋体"/>
          <w:i w:val="0"/>
          <w:caps w:val="0"/>
          <w:color w:val="auto"/>
          <w:spacing w:val="0"/>
          <w:sz w:val="32"/>
          <w:szCs w:val="32"/>
          <w:shd w:val="clear"/>
          <w:lang w:val="en-US" w:eastAsia="zh-CN" w:bidi="ar"/>
        </w:rPr>
        <w:t>（</w:t>
      </w:r>
      <w:r>
        <w:rPr>
          <w:rFonts w:hint="default" w:ascii="Times New Roman" w:hAnsi="Times New Roman" w:eastAsia="仿宋_GB2312" w:cs="宋体"/>
          <w:i w:val="0"/>
          <w:caps w:val="0"/>
          <w:color w:val="auto"/>
          <w:spacing w:val="0"/>
          <w:sz w:val="32"/>
          <w:szCs w:val="32"/>
          <w:shd w:val="clear"/>
          <w:lang w:val="en-US" w:eastAsia="zh-CN" w:bidi="ar"/>
        </w:rPr>
        <w:t>上港集团</w:t>
      </w:r>
      <w:r>
        <w:rPr>
          <w:rFonts w:hint="eastAsia" w:ascii="Times New Roman" w:hAnsi="Times New Roman" w:eastAsia="仿宋_GB2312" w:cs="宋体"/>
          <w:i w:val="0"/>
          <w:caps w:val="0"/>
          <w:color w:val="auto"/>
          <w:spacing w:val="0"/>
          <w:sz w:val="32"/>
          <w:szCs w:val="32"/>
          <w:shd w:val="clear"/>
          <w:lang w:val="en-US" w:eastAsia="zh-CN" w:bidi="ar"/>
        </w:rPr>
        <w:t>）</w:t>
      </w:r>
    </w:p>
    <w:p>
      <w:pPr>
        <w:pStyle w:val="2"/>
        <w:rPr>
          <w:rFonts w:hint="eastAsia"/>
          <w:lang w:val="en-US" w:eastAsia="zh-CN"/>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联和投资公司推动国产质子治疗系统</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val="en-US" w:eastAsia="zh-CN" w:bidi="ar"/>
        </w:rPr>
      </w:pPr>
      <w:r>
        <w:rPr>
          <w:rFonts w:hint="default" w:ascii="Times New Roman" w:hAnsi="Times New Roman" w:eastAsia="华文中宋" w:cs="华文中宋"/>
          <w:color w:val="auto"/>
          <w:sz w:val="36"/>
          <w:szCs w:val="36"/>
          <w:highlight w:val="none"/>
          <w:shd w:val="clear" w:color="auto" w:fill="FFFFFF"/>
          <w:lang w:val="en-US" w:eastAsia="zh-CN" w:bidi="ar"/>
        </w:rPr>
        <w:t>数字化、智能化、自主化</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质子治疗作为肿瘤放射治疗最尖端的治疗技术，代表了现代肿瘤精准医疗技术的发展方向和前沿创新。国产首台质子治疗系统的获批上市，是医工战略性合作、高新技术转型发展，产、学、研、医一体化成功实践的典范，推动了国产高端医疗设备跨越式发展。</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上海市质子治疗转化研究重点实验室由联和投资公司下属上海艾普强粒子设备有限公司与上海交通大学医学院附属瑞金医院联合筹建，以推动国产质子治疗系统数字化、智能化、自主化为目标，开展临床医学研究、转化研究与装备研发。</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实验室集聚了一批涉及装置创新应用、肿瘤生物效应、临床策略优化的多学科交叉团队，建立了符合我国国情的临床技术规范，构建了适应我国特定疾病谱的数据库和质子治疗智慧决策系统，将推动质子治疗自主可控和推广落地。</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成功研发和制造国产质子治疗系统医疗设备</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质子治疗装置结构组成复杂，既是一个规模庞大的高能加速器装置、又是一个对安全性、易用性要求极高的世界最大型医疗设备。</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通过自主研发和集成创新，项目实现了加速器磁聚焦结构、高饱和强场磁铁、超低纹波磁铁电源、磁合金高频腔、注入引出切割器、加速器控制、精密定时、束流调制引出、大型旋转机架、扫描电源与点扫描治疗头、机器人治疗床、图像引导及呼吸运动管理等关键技术，大部分关键设备都是国内首次研发。整个装置的性能和主要功能，已经达到国外主流装置的水平。设备运行稳定可靠，在临床试验期间开机率达到了98%以上。</w:t>
      </w:r>
    </w:p>
    <w:p>
      <w:pPr>
        <w:widowControl/>
        <w:numPr>
          <w:ilvl w:val="-1"/>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val="en-US" w:eastAsia="zh-CN" w:bidi="ar"/>
        </w:rPr>
      </w:pPr>
      <w:r>
        <w:rPr>
          <w:rFonts w:hint="default" w:ascii="Times New Roman" w:hAnsi="Times New Roman" w:eastAsia="仿宋_GB2312" w:cs="宋体"/>
          <w:b/>
          <w:bCs/>
          <w:i w:val="0"/>
          <w:caps w:val="0"/>
          <w:color w:val="auto"/>
          <w:spacing w:val="0"/>
          <w:sz w:val="32"/>
          <w:szCs w:val="32"/>
          <w:shd w:val="clear"/>
          <w:lang w:val="en-US" w:eastAsia="zh-CN" w:bidi="ar"/>
        </w:rPr>
        <w:t>国产质子治疗设备产业化造福国民健康</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质子治疗系统还面临着从1到100的产业化过程。为了技术研发和优化的持续进行，上海艾普强粒子设备有限公司与上海交通大学医学院附属瑞金医院、中国科学院上海应用物理研究所和中国科学院上海高等研究院联合成立了联合研发中心，共同建设研发与培训基地，并申请获批建设上海市质子治疗转化研究重点实验室。共同深化“产、学、研、医、检”合作，进一步推进技术发展。同时与部分供应商建立了长期合作伙伴关系，共同进行设备性能等的优化。</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在重点实验室的组织下，团队继续推进第二注册单元（360度旋转束治疗室）的调试和检测工作。360度旋转机架治疗室是艾普强质子治疗系统的升级过程，从旋转机架重量和尺寸到三维影像CBCT系统等全方位性能和功能优化。2023年12月召开专家会对360度治疗室主要系统的性能和功能进行了测试和鉴定，认为360度旋转治疗室已具备型检条件。</w:t>
      </w:r>
    </w:p>
    <w:p>
      <w:pPr>
        <w:widowControl/>
        <w:numPr>
          <w:ilvl w:val="-1"/>
          <w:numId w:val="0"/>
        </w:numPr>
        <w:ind w:firstLine="640" w:firstLineChars="200"/>
        <w:jc w:val="both"/>
        <w:rPr>
          <w:rFonts w:hint="default" w:ascii="Times New Roman" w:hAnsi="Times New Roman" w:eastAsia="仿宋_GB2312" w:cs="宋体"/>
          <w:i w:val="0"/>
          <w:caps w:val="0"/>
          <w:color w:val="auto"/>
          <w:spacing w:val="0"/>
          <w:sz w:val="32"/>
          <w:szCs w:val="32"/>
          <w:shd w:val="clear"/>
          <w:lang w:val="en-US" w:eastAsia="zh-CN" w:bidi="ar"/>
        </w:rPr>
      </w:pPr>
      <w:r>
        <w:rPr>
          <w:rFonts w:hint="default" w:ascii="Times New Roman" w:hAnsi="Times New Roman" w:eastAsia="仿宋_GB2312" w:cs="宋体"/>
          <w:i w:val="0"/>
          <w:caps w:val="0"/>
          <w:color w:val="auto"/>
          <w:spacing w:val="0"/>
          <w:sz w:val="32"/>
          <w:szCs w:val="32"/>
          <w:shd w:val="clear"/>
          <w:lang w:val="en-US" w:eastAsia="zh-CN" w:bidi="ar"/>
        </w:rPr>
        <w:t>临床需求牵引下以产促研，提升先进制造能力，推进技术迭代，持续助力质子设备国产化进程，上海艾普强粒子设备有限公司投资6.2亿元建设了产业化基地，目前基地已经竣工，即将投入使用。这里将建设全套研发测试中心和质子治疗系统研发样机，承担生产任务的同时，开展各系统和模块功能性能升级换代研究，为质子治疗技术的进步准备好基础条件。</w:t>
      </w:r>
      <w:r>
        <w:rPr>
          <w:rFonts w:hint="eastAsia" w:ascii="Times New Roman" w:hAnsi="Times New Roman" w:eastAsia="仿宋_GB2312" w:cs="宋体"/>
          <w:i w:val="0"/>
          <w:caps w:val="0"/>
          <w:color w:val="auto"/>
          <w:spacing w:val="0"/>
          <w:sz w:val="32"/>
          <w:szCs w:val="32"/>
          <w:shd w:val="clear"/>
          <w:lang w:val="en-US" w:eastAsia="zh-CN" w:bidi="ar"/>
        </w:rPr>
        <w:t>（联</w:t>
      </w:r>
      <w:r>
        <w:rPr>
          <w:rFonts w:hint="default" w:ascii="Times New Roman" w:hAnsi="Times New Roman" w:eastAsia="仿宋_GB2312" w:cs="宋体"/>
          <w:i w:val="0"/>
          <w:caps w:val="0"/>
          <w:color w:val="auto"/>
          <w:spacing w:val="0"/>
          <w:sz w:val="32"/>
          <w:szCs w:val="32"/>
          <w:shd w:val="clear"/>
          <w:lang w:val="en-US" w:eastAsia="zh-CN" w:bidi="ar"/>
        </w:rPr>
        <w:t>和投资公司</w:t>
      </w:r>
      <w:r>
        <w:rPr>
          <w:rFonts w:hint="eastAsia" w:ascii="Times New Roman" w:hAnsi="Times New Roman" w:eastAsia="仿宋_GB2312" w:cs="宋体"/>
          <w:i w:val="0"/>
          <w:caps w:val="0"/>
          <w:color w:val="auto"/>
          <w:spacing w:val="0"/>
          <w:sz w:val="32"/>
          <w:szCs w:val="32"/>
          <w:shd w:val="clear"/>
          <w:lang w:val="en-US" w:eastAsia="zh-CN" w:bidi="ar"/>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D41211"/>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050C8"/>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B47D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243D2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AA4F3B"/>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C67831"/>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132E95"/>
    <w:rsid w:val="1C312724"/>
    <w:rsid w:val="1C366EC8"/>
    <w:rsid w:val="1C4D7F52"/>
    <w:rsid w:val="1C733010"/>
    <w:rsid w:val="1C805614"/>
    <w:rsid w:val="1C8B1D2B"/>
    <w:rsid w:val="1C935A35"/>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00F4B"/>
    <w:rsid w:val="25890B8B"/>
    <w:rsid w:val="25893995"/>
    <w:rsid w:val="25922659"/>
    <w:rsid w:val="25CB5C6B"/>
    <w:rsid w:val="260371E9"/>
    <w:rsid w:val="26252D3B"/>
    <w:rsid w:val="26490A10"/>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EA3DF5"/>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657F46"/>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13F92"/>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2E6D77"/>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17391"/>
    <w:rsid w:val="4D37D611"/>
    <w:rsid w:val="4D3C100D"/>
    <w:rsid w:val="4D496C6E"/>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CC5A73"/>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4F1A0D"/>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61062"/>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32359"/>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CB6DBB"/>
    <w:rsid w:val="59E4254F"/>
    <w:rsid w:val="59F21C00"/>
    <w:rsid w:val="59FDFEF2"/>
    <w:rsid w:val="59FFDFC5"/>
    <w:rsid w:val="5A451531"/>
    <w:rsid w:val="5A555BBE"/>
    <w:rsid w:val="5A5A0BD4"/>
    <w:rsid w:val="5A685873"/>
    <w:rsid w:val="5A697C7E"/>
    <w:rsid w:val="5A7725B2"/>
    <w:rsid w:val="5A776550"/>
    <w:rsid w:val="5A79031F"/>
    <w:rsid w:val="5A7E085F"/>
    <w:rsid w:val="5A853217"/>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14B31"/>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04664"/>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DC1D83"/>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95D9B"/>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732CE1"/>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93FA0"/>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153E6"/>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2449"/>
    <w:rsid w:val="6DE77FDB"/>
    <w:rsid w:val="6DE9321C"/>
    <w:rsid w:val="6DECB930"/>
    <w:rsid w:val="6DEF0D1B"/>
    <w:rsid w:val="6DF73585"/>
    <w:rsid w:val="6DF9750E"/>
    <w:rsid w:val="6DFBF63B"/>
    <w:rsid w:val="6DFE3533"/>
    <w:rsid w:val="6DFE5138"/>
    <w:rsid w:val="6E0650EF"/>
    <w:rsid w:val="6E0C43BB"/>
    <w:rsid w:val="6E1732CA"/>
    <w:rsid w:val="6E1F6782"/>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66FD8"/>
    <w:rsid w:val="6FD7DD9B"/>
    <w:rsid w:val="6FD91107"/>
    <w:rsid w:val="6FD985FF"/>
    <w:rsid w:val="6FE7130C"/>
    <w:rsid w:val="6FEEBE7B"/>
    <w:rsid w:val="6FEEEA3F"/>
    <w:rsid w:val="6FEFC78B"/>
    <w:rsid w:val="6FF13E8D"/>
    <w:rsid w:val="6FF3E798"/>
    <w:rsid w:val="6FF6057A"/>
    <w:rsid w:val="6FF60D7F"/>
    <w:rsid w:val="6FF66457"/>
    <w:rsid w:val="6FF67D4D"/>
    <w:rsid w:val="6FF7F358"/>
    <w:rsid w:val="6FF9CD3E"/>
    <w:rsid w:val="6FFDBDFB"/>
    <w:rsid w:val="6FFE2F44"/>
    <w:rsid w:val="6FFEF623"/>
    <w:rsid w:val="6FFF1246"/>
    <w:rsid w:val="6FFF20F7"/>
    <w:rsid w:val="6FFF4E02"/>
    <w:rsid w:val="6FFF8B7D"/>
    <w:rsid w:val="6FFFCEEA"/>
    <w:rsid w:val="70185799"/>
    <w:rsid w:val="701C69FE"/>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7F33E7"/>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760DF"/>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6599C"/>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492"/>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69EA76"/>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BDE34"/>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D8E67"/>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E38C8"/>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128</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2023-01-03T17:47:00Z</dcterms:created>
  <dc:creator>user</dc:creator>
  <cp:lastModifiedBy>WPS_1622794468</cp:lastModifiedBy>
  <cp:lastPrinted>2024-01-23T09:20:00Z</cp:lastPrinted>
  <dcterms:modified xsi:type="dcterms:W3CDTF">2024-02-07T08:32:33Z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2205D31DD469F1E95138AE65FC096F9F</vt:lpwstr>
  </property>
</Properties>
</file>