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Monotype Corsiva" w:hAnsi="Monotype Corsiva" w:eastAsia="方正舒体"/>
          <w:b/>
          <w:sz w:val="36"/>
          <w:szCs w:val="36"/>
        </w:rPr>
      </w:pPr>
      <w:r>
        <w:rPr>
          <w:rFonts w:hint="eastAsia" w:ascii="华文行楷" w:eastAsia="华文行楷"/>
          <w:color w:val="FF0000"/>
          <w:spacing w:val="-60"/>
          <w:sz w:val="180"/>
          <w:szCs w:val="180"/>
        </w:rPr>
        <w:t>上海国资</w:t>
      </w:r>
    </w:p>
    <w:p>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rPr>
      </w:pPr>
      <w:r>
        <w:rPr>
          <w:rFonts w:hint="eastAsia"/>
          <w:b/>
          <w:sz w:val="32"/>
        </w:rPr>
        <w:t>第</w:t>
      </w:r>
      <w:r>
        <w:rPr>
          <w:rFonts w:hint="eastAsia" w:ascii="Times New Roman" w:hAnsi="Times New Roman" w:cs="Times New Roman"/>
          <w:b w:val="0"/>
          <w:bCs/>
          <w:sz w:val="32"/>
          <w:lang w:val="en-US" w:eastAsia="zh-CN"/>
        </w:rPr>
        <w:t>1</w:t>
      </w:r>
      <w:r>
        <w:rPr>
          <w:rFonts w:hint="eastAsia"/>
          <w:b/>
          <w:sz w:val="32"/>
        </w:rPr>
        <w:t>期</w:t>
      </w:r>
    </w:p>
    <w:p>
      <w:pPr>
        <w:keepNext w:val="0"/>
        <w:keepLines w:val="0"/>
        <w:pageBreakBefore w:val="0"/>
        <w:widowControl w:val="0"/>
        <w:kinsoku/>
        <w:wordWrap/>
        <w:overflowPunct/>
        <w:topLinePunct w:val="0"/>
        <w:autoSpaceDE/>
        <w:autoSpaceDN/>
        <w:bidi w:val="0"/>
        <w:adjustRightInd/>
        <w:snapToGrid/>
        <w:spacing w:line="480" w:lineRule="exact"/>
        <w:ind w:right="-101" w:rightChars="-42"/>
        <w:jc w:val="left"/>
        <w:textAlignment w:val="auto"/>
        <w:rPr>
          <w:b/>
          <w:sz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right="-101" w:rightChars="-42"/>
        <w:jc w:val="both"/>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楷体_GB2312" w:cs="Times New Roman"/>
          <w:spacing w:val="-14"/>
          <w:sz w:val="28"/>
          <w:szCs w:val="24"/>
          <w:u w:val="single" w:color="FF0000"/>
          <w:lang w:val="en-US" w:eastAsia="zh-CN"/>
        </w:rPr>
        <w:t>上海市国有资产监督管理委员会办公室（党委办公室）     202</w:t>
      </w:r>
      <w:r>
        <w:rPr>
          <w:rFonts w:hint="eastAsia" w:ascii="Times New Roman" w:hAnsi="Times New Roman" w:eastAsia="楷体_GB2312" w:cs="Times New Roman"/>
          <w:spacing w:val="-14"/>
          <w:sz w:val="28"/>
          <w:szCs w:val="24"/>
          <w:u w:val="single" w:color="FF0000"/>
          <w:lang w:val="en-US" w:eastAsia="zh-CN"/>
        </w:rPr>
        <w:t>6</w:t>
      </w:r>
      <w:r>
        <w:rPr>
          <w:rFonts w:hint="default" w:ascii="Times New Roman" w:hAnsi="Times New Roman" w:eastAsia="楷体_GB2312" w:cs="Times New Roman"/>
          <w:spacing w:val="-14"/>
          <w:sz w:val="28"/>
          <w:szCs w:val="24"/>
          <w:u w:val="single" w:color="FF0000"/>
          <w:lang w:val="en-US" w:eastAsia="zh-CN"/>
        </w:rPr>
        <w:t>年</w:t>
      </w:r>
      <w:r>
        <w:rPr>
          <w:rFonts w:hint="eastAsia" w:ascii="Times New Roman" w:hAnsi="Times New Roman" w:eastAsia="楷体_GB2312" w:cs="Times New Roman"/>
          <w:spacing w:val="-14"/>
          <w:sz w:val="28"/>
          <w:szCs w:val="24"/>
          <w:u w:val="single" w:color="FF0000"/>
          <w:lang w:val="en-US" w:eastAsia="zh-CN"/>
        </w:rPr>
        <w:t>1</w:t>
      </w:r>
      <w:r>
        <w:rPr>
          <w:rFonts w:hint="default" w:ascii="Times New Roman" w:hAnsi="Times New Roman" w:eastAsia="楷体_GB2312" w:cs="Times New Roman"/>
          <w:spacing w:val="-14"/>
          <w:sz w:val="28"/>
          <w:szCs w:val="24"/>
          <w:u w:val="single" w:color="FF0000"/>
          <w:lang w:val="en-US" w:eastAsia="zh-CN"/>
        </w:rPr>
        <w:t>月</w:t>
      </w:r>
      <w:r>
        <w:rPr>
          <w:rFonts w:hint="eastAsia" w:ascii="Times New Roman" w:hAnsi="Times New Roman" w:eastAsia="楷体_GB2312" w:cs="Times New Roman"/>
          <w:spacing w:val="-14"/>
          <w:sz w:val="28"/>
          <w:szCs w:val="24"/>
          <w:u w:val="single" w:color="FF0000"/>
          <w:lang w:val="en-US" w:eastAsia="zh-CN"/>
        </w:rPr>
        <w:t xml:space="preserve">  </w:t>
      </w:r>
      <w:r>
        <w:rPr>
          <w:rFonts w:hint="default" w:ascii="Times New Roman" w:hAnsi="Times New Roman" w:eastAsia="楷体_GB2312" w:cs="Times New Roman"/>
          <w:spacing w:val="-14"/>
          <w:sz w:val="28"/>
          <w:szCs w:val="24"/>
          <w:u w:val="single" w:color="FF0000"/>
          <w:lang w:val="en-US" w:eastAsia="zh-CN"/>
        </w:rPr>
        <w:t>日</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default" w:ascii="Times New Roman" w:hAnsi="Times New Roman" w:eastAsia="华文中宋" w:cs="Times New Roman"/>
          <w:b w:val="0"/>
          <w:bCs/>
          <w:i w:val="0"/>
          <w:caps w:val="0"/>
          <w:spacing w:val="-6"/>
          <w:kern w:val="44"/>
          <w:sz w:val="36"/>
          <w:szCs w:val="36"/>
          <w:shd w:val="clear" w:fill="FFFFFF"/>
          <w:lang w:val="en-US" w:eastAsia="zh-CN" w:bidi="ar"/>
        </w:rPr>
      </w:pPr>
      <w:bookmarkStart w:id="0" w:name="_GoBack"/>
      <w:r>
        <w:rPr>
          <w:rFonts w:hint="eastAsia" w:ascii="Times New Roman" w:hAnsi="Times New Roman" w:eastAsia="华文中宋" w:cs="Times New Roman"/>
          <w:b w:val="0"/>
          <w:bCs/>
          <w:i w:val="0"/>
          <w:caps w:val="0"/>
          <w:spacing w:val="-6"/>
          <w:kern w:val="44"/>
          <w:sz w:val="36"/>
          <w:szCs w:val="36"/>
          <w:shd w:val="clear" w:fill="FFFFFF"/>
          <w:lang w:val="en-US" w:eastAsia="zh-CN" w:bidi="ar"/>
        </w:rPr>
        <w:t>金融工作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center"/>
        <w:textAlignment w:val="auto"/>
        <w:rPr>
          <w:rFonts w:hint="eastAsia" w:ascii="Times New Roman" w:hAnsi="Times New Roman" w:eastAsia="华文中宋" w:cs="Times New Roman"/>
          <w:b w:val="0"/>
          <w:bCs/>
          <w:i w:val="0"/>
          <w:caps w:val="0"/>
          <w:spacing w:val="-6"/>
          <w:kern w:val="44"/>
          <w:sz w:val="36"/>
          <w:szCs w:val="36"/>
          <w:shd w:val="clear" w:fill="FFFFFF"/>
          <w:lang w:val="en-US" w:eastAsia="zh-CN" w:bidi="ar"/>
        </w:rPr>
      </w:pPr>
      <w:r>
        <w:rPr>
          <w:rFonts w:hint="eastAsia" w:ascii="Times New Roman" w:hAnsi="Times New Roman" w:eastAsia="华文中宋" w:cs="Times New Roman"/>
          <w:b w:val="0"/>
          <w:bCs/>
          <w:i w:val="0"/>
          <w:caps w:val="0"/>
          <w:spacing w:val="-6"/>
          <w:kern w:val="44"/>
          <w:sz w:val="36"/>
          <w:szCs w:val="36"/>
          <w:shd w:val="clear" w:fill="FFFFFF"/>
          <w:lang w:val="en-US" w:eastAsia="zh-CN" w:bidi="ar"/>
        </w:rPr>
        <w:t>浦发银行“国粮链贷”护航塞外粮仓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center"/>
        <w:textAlignment w:val="auto"/>
        <w:rPr>
          <w:rFonts w:hint="eastAsia" w:ascii="Times New Roman" w:hAnsi="Times New Roman" w:eastAsia="华文中宋" w:cs="Times New Roman"/>
          <w:b w:val="0"/>
          <w:bCs/>
          <w:i w:val="0"/>
          <w:caps w:val="0"/>
          <w:spacing w:val="-6"/>
          <w:kern w:val="44"/>
          <w:sz w:val="36"/>
          <w:szCs w:val="36"/>
          <w:shd w:val="clear" w:fill="FFFFFF"/>
          <w:lang w:val="en-US" w:eastAsia="zh-CN" w:bidi="ar"/>
        </w:rPr>
      </w:pPr>
      <w:r>
        <w:rPr>
          <w:rFonts w:hint="eastAsia" w:ascii="Times New Roman" w:hAnsi="Times New Roman" w:eastAsia="华文中宋" w:cs="Times New Roman"/>
          <w:b w:val="0"/>
          <w:bCs/>
          <w:i w:val="0"/>
          <w:caps w:val="0"/>
          <w:spacing w:val="-6"/>
          <w:kern w:val="44"/>
          <w:sz w:val="36"/>
          <w:szCs w:val="36"/>
          <w:shd w:val="clear" w:fill="FFFFFF"/>
          <w:lang w:val="en-US" w:eastAsia="zh-CN" w:bidi="ar"/>
        </w:rPr>
        <w:t>夯实大国粮食安全基石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近日，浦发银行呼和浩特分行将服务国家战略与深耕区域经济紧密结合，紧抓政策机遇，成功落地首笔“国粮链贷”供应链融资业务，以创新金融产品打通粮食产业链资金堵点，实现服务实体经济的“开门红”。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自国家粮食交易中心供应链金融服务系统上线，浦发银行迅速组建专项服务团队，深入区内通辽国家粮食交易中心与企业一线，精准把脉企业在粮食收购、仓储、加工等环节的融资需求。依托国家级平台的权威数据与交易场景，浦发银行创新打造了全流程线上化融资模式，设立绿色审批通道，大幅提升了服务效率，有效降低了企业的融资成本与时间成本，让金融活水及时、精准地滴灌至粮食产业的每一个关键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国粮链贷”聚焦粮食收购、仓储等产业链环节痛点，具有三大优势：依托真实贸易背景与物流数据实现额度核定，放款全流程高效运转，破解粮食企业“季节性强、需求急”的融资难题；通过应收账款质押、动态库存监管等手段构建风控闭环，筑牢资产安全防线；联动大型粮仓、交易平台深化生态合作，带动结算、存款等综合业务提升，实现客户粘性与经营效益双增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国粮链贷”业务的成功落地，不仅是浦发银行在国家级农产品供应链金融领域的重要突破，更是金融服务内蒙古“五大任务”、助力乡村全面振兴的切实之举，标志着浦发银行与国家级平台“总对总”合作的深化，开辟了以供应链金融赋能涉农普惠的新路径。（浦发银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center"/>
        <w:textAlignment w:val="auto"/>
        <w:rPr>
          <w:rFonts w:hint="eastAsia" w:ascii="Times New Roman" w:hAnsi="Times New Roman" w:eastAsia="华文中宋" w:cs="Times New Roman"/>
          <w:b w:val="0"/>
          <w:bCs/>
          <w:i w:val="0"/>
          <w:caps w:val="0"/>
          <w:spacing w:val="-6"/>
          <w:kern w:val="44"/>
          <w:sz w:val="36"/>
          <w:szCs w:val="36"/>
          <w:shd w:val="clear" w:fill="FFFFFF"/>
          <w:lang w:val="en-US" w:eastAsia="zh-CN" w:bidi="ar"/>
        </w:rPr>
      </w:pPr>
      <w:r>
        <w:rPr>
          <w:rFonts w:hint="eastAsia" w:ascii="Times New Roman" w:hAnsi="Times New Roman" w:eastAsia="华文中宋" w:cs="Times New Roman"/>
          <w:b w:val="0"/>
          <w:bCs/>
          <w:i w:val="0"/>
          <w:caps w:val="0"/>
          <w:spacing w:val="-6"/>
          <w:kern w:val="44"/>
          <w:sz w:val="36"/>
          <w:szCs w:val="36"/>
          <w:shd w:val="clear" w:fill="FFFFFF"/>
          <w:lang w:val="en-US" w:eastAsia="zh-CN" w:bidi="ar"/>
        </w:rPr>
        <w:t>国泰海通顺利完成2000多万客户迁移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center"/>
        <w:textAlignment w:val="auto"/>
        <w:rPr>
          <w:rFonts w:hint="eastAsia" w:ascii="Times New Roman" w:hAnsi="Times New Roman" w:eastAsia="华文中宋" w:cs="Times New Roman"/>
          <w:b w:val="0"/>
          <w:bCs/>
          <w:i w:val="0"/>
          <w:caps w:val="0"/>
          <w:spacing w:val="-6"/>
          <w:kern w:val="44"/>
          <w:sz w:val="36"/>
          <w:szCs w:val="36"/>
          <w:shd w:val="clear" w:fill="FFFFFF"/>
          <w:lang w:val="en-US" w:eastAsia="zh-CN" w:bidi="ar"/>
        </w:rPr>
      </w:pPr>
      <w:r>
        <w:rPr>
          <w:rFonts w:hint="eastAsia" w:ascii="Times New Roman" w:hAnsi="Times New Roman" w:eastAsia="华文中宋" w:cs="Times New Roman"/>
          <w:b w:val="0"/>
          <w:bCs/>
          <w:i w:val="0"/>
          <w:caps w:val="0"/>
          <w:spacing w:val="-6"/>
          <w:kern w:val="44"/>
          <w:sz w:val="36"/>
          <w:szCs w:val="36"/>
          <w:shd w:val="clear" w:fill="FFFFFF"/>
          <w:lang w:val="en-US" w:eastAsia="zh-CN" w:bidi="ar"/>
        </w:rPr>
        <w:t>开启融合发展新篇章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近日，为更好提供稳定统一的客户服务，国泰海通顺利完成上百套IT信息系统整合，并通过21批次将超2000万原海通证券客户及相关业务数据完整迁移切换至公司已成熟的下一代分布式核心交易体系（以下简称“内切”），历经近4个月持续奋战，实现内切攻坚圆满收官，也标志着国泰海通母公司全部重大整合工程的完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3"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坚持前瞻布局、主动作为。</w:t>
      </w:r>
      <w:r>
        <w:rPr>
          <w:rFonts w:hint="eastAsia" w:ascii="Times New Roman" w:hAnsi="Times New Roman" w:eastAsia="仿宋_GB2312" w:cs="仿宋_GB2312"/>
          <w:b w:val="0"/>
          <w:bCs w:val="0"/>
          <w:sz w:val="32"/>
          <w:szCs w:val="32"/>
          <w:lang w:val="en-US" w:eastAsia="zh-CN"/>
        </w:rPr>
        <w:t>自2025年1月起，公司历时8个月妥善完成基础设施整合、系统扩容、账户整合、佣金整合等内切实施前置工作，为内切顺利推进奠定基础。采用“先灰度、后整体”“先验证、后实施”的科学策略，通过灰度切换、试点切换和整体切换三个阶段共21批次稳步实施，确保各环节无缝衔接、平稳过渡，客户服务品质不降档、体验不打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3"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坚持客户至上、服务为本。</w:t>
      </w:r>
      <w:r>
        <w:rPr>
          <w:rFonts w:hint="eastAsia" w:ascii="Times New Roman" w:hAnsi="Times New Roman" w:eastAsia="仿宋_GB2312" w:cs="仿宋_GB2312"/>
          <w:b w:val="0"/>
          <w:bCs w:val="0"/>
          <w:sz w:val="32"/>
          <w:szCs w:val="32"/>
          <w:lang w:val="en-US" w:eastAsia="zh-CN"/>
        </w:rPr>
        <w:t>公司秉持“以客户为中心”理念，第一时间实现APP等客户端功能互联互通；攻克原两家公司业务规则不一致等多重难题、最大限度弥合客户体验。围绕对客告知等关键事项建立跨条线联审和“分钟级响应、小时级解决”快速响应机制，多轮次、全渠道进行对客公告及个性化通知，内切实施期间累计回应1万余条相关客户咨询，以“面对面”沟通化解顾虑，用“心贴心”服务凝聚信任，全力保障客户体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3"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坚持科技引领、靶向发力。</w:t>
      </w:r>
      <w:r>
        <w:rPr>
          <w:rFonts w:hint="eastAsia" w:ascii="Times New Roman" w:hAnsi="Times New Roman" w:eastAsia="仿宋_GB2312" w:cs="仿宋_GB2312"/>
          <w:b w:val="0"/>
          <w:bCs w:val="0"/>
          <w:sz w:val="32"/>
          <w:szCs w:val="32"/>
          <w:lang w:val="en-US" w:eastAsia="zh-CN"/>
        </w:rPr>
        <w:t>公司提前完成系统扩容及压力测试，完成客户信息梳理、账户标签对齐、公募基金产品同步等海量基础工作，分批上线超200项系统兼容性改造需求，用户验收测试实现100%执行率，最终达成账户、业务、客户体验等“八对齐”目标。内切完成后，公司下一代分布式核心交易体系承载超4300万客户，成为行业客户最大规模的全栈信创核心系统，也是目前市场上唯一一个规模突破千万级的标杆性系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本次内切的圆满收官，不仅是国泰海通战略执行力、科技引领力与组织协同力的集中体现，更标志着母公司顺利完成整合，开启了公司深度融合发展的全新篇章。（国泰海通）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left"/>
        <w:textAlignment w:val="auto"/>
        <w:rPr>
          <w:rFonts w:hint="default" w:ascii="Times New Roman" w:hAnsi="Times New Roman" w:eastAsia="仿宋_GB2312" w:cs="仿宋_GB2312"/>
          <w:b w:val="0"/>
          <w:bCs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default" w:ascii="Times New Roman" w:hAnsi="Times New Roman" w:eastAsia="楷体_GB2312" w:cs="Times New Roman"/>
          <w:b/>
          <w:bCs/>
          <w:sz w:val="32"/>
          <w:szCs w:val="32"/>
        </w:rPr>
        <w:t>国企之窗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申能集团为新型电力系统构建注入“自主动能”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申能集团旗下申能股份外三发电7号机组国产化DCS系统改造项目顺利通过168小时连续运行试验，期间各项参数稳定、系统运行正常，标志着上海地区首台百万千瓦等级机组DCS系统实现100%国产化替代并成功投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DCS即分散控制系统，被称为电厂运行的“神经中枢”和“智慧大脑”，其自主可控水平直接关系机组安全稳定与运行效能。申能外三发电7号机组原主机DCS及DEH系统均采用西门子T3000控制系统，自投运以来已连续运行17年。此次历经9个多月持续攻坚，这台机组成功换上国产“智慧大脑”，不仅实现控制系统迭代升级，更在工业控制系统自主可控的道路上迈出了坚实一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攻克“控制组态精准移植”和“公用系统无缝切换”两大难题，是项目成败的关键。原系统涉及多国品牌，逻辑编程方式和结构差异显著，再加上逻辑迁移需逐条人工比对和重构，任何细微疏漏都可能给机组运行带来风险。为此，项目团队开展了为期45天的封闭式攻坚，完成所有功能块对比测试和通道测试，52对控制器近15000页逻辑组态逐页核对，累计发现并修正近500处潜在问题，从源头确保精准性与可靠性。针对公用系统必须“不间断运行”的刚性要求，实现测点信号准确无误，阀门及泵组启停、切换等控制逻辑精准无误，确保公用系统切换过程中平稳过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申能股份将持续深化系统国产化成果应用，稳步推进后续机组改造，推动绿色低碳、灵活高效与技术自主协同发力，为实现“绿色电力先锋企业”目标愿景，构建上海新型电力系统注入更强“自主动能”。（申能集团）</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东浩兰生集团“外服云知道·人力资源行业智库”上线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上海外服正式推出面向企业客户的全新产品——“外服云知道·人力资源行业智库”。“外服云知道”是上海外服基于DeepSeek、通义千问、豆包等国内先进大语言模型技术进行研发，并深度融合了上海外服40余年人力资源服务场景的数据积累及服务经验，打造的行业级AI基建与能力平台。“外服云知道”面向企业HR与管理者，聚焦政策检索、企业成本计算、合规问答与决策支持等核心痛点，提供数智化咨询解决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产品包含四大功能模块，分别是“政策资源库”“智能测算工具”“政策AI智能体”“报告与咨询”。</w:t>
      </w:r>
      <w:r>
        <w:rPr>
          <w:rFonts w:hint="eastAsia" w:ascii="Times New Roman" w:hAnsi="Times New Roman" w:eastAsia="仿宋_GB2312" w:cs="仿宋_GB2312"/>
          <w:b/>
          <w:bCs/>
          <w:sz w:val="32"/>
          <w:szCs w:val="32"/>
          <w:lang w:val="en-US" w:eastAsia="zh-CN"/>
        </w:rPr>
        <w:t>“政策资源库”</w:t>
      </w:r>
      <w:r>
        <w:rPr>
          <w:rFonts w:hint="eastAsia" w:ascii="Times New Roman" w:hAnsi="Times New Roman" w:eastAsia="仿宋_GB2312" w:cs="仿宋_GB2312"/>
          <w:sz w:val="32"/>
          <w:szCs w:val="32"/>
          <w:lang w:val="en-US" w:eastAsia="zh-CN"/>
        </w:rPr>
        <w:t>覆盖13类社保公积金政策、600+城市，可以帮助企业快速查询全国政策数据及政策文件，如：社保公积金上下限、生育津贴计算方式等，同时，提供政策文件AI解读，快速提炼政策要点。</w:t>
      </w:r>
      <w:r>
        <w:rPr>
          <w:rFonts w:hint="eastAsia" w:ascii="Times New Roman" w:hAnsi="Times New Roman" w:eastAsia="仿宋_GB2312" w:cs="仿宋_GB2312"/>
          <w:b/>
          <w:bCs/>
          <w:sz w:val="32"/>
          <w:szCs w:val="32"/>
          <w:lang w:val="en-US" w:eastAsia="zh-CN"/>
        </w:rPr>
        <w:t xml:space="preserve"> “智能测算工具”</w:t>
      </w:r>
      <w:r>
        <w:rPr>
          <w:rFonts w:hint="eastAsia" w:ascii="Times New Roman" w:hAnsi="Times New Roman" w:eastAsia="仿宋_GB2312" w:cs="仿宋_GB2312"/>
          <w:sz w:val="32"/>
          <w:szCs w:val="32"/>
          <w:lang w:val="en-US" w:eastAsia="zh-CN"/>
        </w:rPr>
        <w:t>提供企业成本计算器、延迟退休计算器、产假计算器三大测算工具，可一键快速测算员工雇佣成本、退休年龄与日期、产假天数，通过各类智能测算工具，优化人力效能、维护员工权益，助力企业精准决策。</w:t>
      </w:r>
      <w:r>
        <w:rPr>
          <w:rFonts w:hint="eastAsia" w:ascii="Times New Roman" w:hAnsi="Times New Roman" w:eastAsia="仿宋_GB2312" w:cs="仿宋_GB2312"/>
          <w:b/>
          <w:bCs/>
          <w:sz w:val="32"/>
          <w:szCs w:val="32"/>
          <w:lang w:val="en-US" w:eastAsia="zh-CN"/>
        </w:rPr>
        <w:t>“政策AI智能体”</w:t>
      </w:r>
      <w:r>
        <w:rPr>
          <w:rFonts w:hint="eastAsia" w:ascii="Times New Roman" w:hAnsi="Times New Roman" w:eastAsia="仿宋_GB2312" w:cs="仿宋_GB2312"/>
          <w:sz w:val="32"/>
          <w:szCs w:val="32"/>
          <w:lang w:val="en-US" w:eastAsia="zh-CN"/>
        </w:rPr>
        <w:t>通过对人力资源相关政策语义进行意图识别，专注解答全国法定福利政策相关问题，并结合上海外服持续更新的知识库给用户提供“互联网搜索”及“外服政策库”双源答案，实现双重验证。</w:t>
      </w:r>
      <w:r>
        <w:rPr>
          <w:rFonts w:hint="eastAsia" w:ascii="Times New Roman" w:hAnsi="Times New Roman" w:eastAsia="仿宋_GB2312" w:cs="仿宋_GB2312"/>
          <w:b/>
          <w:bCs/>
          <w:sz w:val="32"/>
          <w:szCs w:val="32"/>
          <w:lang w:val="en-US" w:eastAsia="zh-CN"/>
        </w:rPr>
        <w:t>“报告与咨询”</w:t>
      </w:r>
      <w:r>
        <w:rPr>
          <w:rFonts w:hint="eastAsia" w:ascii="Times New Roman" w:hAnsi="Times New Roman" w:eastAsia="仿宋_GB2312" w:cs="仿宋_GB2312"/>
          <w:sz w:val="32"/>
          <w:szCs w:val="32"/>
          <w:lang w:val="en-US" w:eastAsia="zh-CN"/>
        </w:rPr>
        <w:t>模块一站网罗外服所有专业报告及专家解读，涵盖员工福利、灵活用工、业务外包、人才招聘等主题，通过上海外服的专业视角分析及数据支撑，帮助企业快速洞察市场风向和行业趋势。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外服云知道”通过“大模型+知识库+工作编排”的方式，把业务专家的经验与认知沉淀为可复用的智能体与工具。通过开放智能体创作平台，与客户及业务伙伴共建共创，不断拓展场景化应用。（东浩兰生集团）</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11"/>
          <w:kern w:val="44"/>
          <w:sz w:val="36"/>
          <w:szCs w:val="36"/>
          <w:shd w:val="clear" w:fill="FFFFFF"/>
          <w:lang w:val="en-US" w:eastAsia="zh-CN" w:bidi="ar"/>
        </w:rPr>
      </w:pPr>
      <w:r>
        <w:rPr>
          <w:rFonts w:hint="eastAsia" w:ascii="Times New Roman" w:hAnsi="Times New Roman" w:eastAsia="华文中宋" w:cs="华文中宋"/>
          <w:b w:val="0"/>
          <w:bCs/>
          <w:i w:val="0"/>
          <w:caps w:val="0"/>
          <w:spacing w:val="-11"/>
          <w:kern w:val="44"/>
          <w:sz w:val="36"/>
          <w:szCs w:val="36"/>
          <w:shd w:val="clear" w:fill="FFFFFF"/>
          <w:lang w:val="en-US" w:eastAsia="zh-CN" w:bidi="ar"/>
        </w:rPr>
        <w:t>上海建科咨询集团首发工程监理行业大模型测评集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近日，上海建科咨询集团首发工程监理行业大模型测评集Norma-MESBench 1.0。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Norma-MESBench 1.0是上海建科咨询集团打造的国内首个监理行业万题规模的大语言模型测评基准——它填补了监理领域专属AI大模型测评基准的空白，能用科学、量化的方式帮企业判断AI大模型在监理各专业的知识掌握程度，既是上海建科咨询集团人工智能技术落地的关键成果，更是行业放心用AI、选对AI的实用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该测评集项目从监理行业的角度拆分了含专业技术、通用综合、特色场景三大板块和多个层级的“全维度测评框架”，采用“人工+大模型辅助”的混合模式构建了超万条测评数据，再经格式标准化、去重算法和多轮人工复核等流程进行题目质量控制。为确保测评过程的便捷性、科学性与鲁棒性，项目采用了“多层级加权评分”“裁判模型评审组”等算法实现全流程自动化、标准化，为行业提供了统一、规范、可用的大模型监理专业能力测评框架。该测评集目前完成了17款主流通用大模型在监理工作场景的能力测评和分析，为相关企业和从业人员提供了专业、精准的大模型在工程监理领域的能力评估，助力企业科学选择适用的AI大模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pacing w:val="-17"/>
          <w:sz w:val="32"/>
          <w:szCs w:val="32"/>
          <w:lang w:val="en-US" w:eastAsia="zh-CN"/>
        </w:rPr>
      </w:pPr>
      <w:r>
        <w:rPr>
          <w:rFonts w:hint="eastAsia" w:ascii="Times New Roman" w:hAnsi="Times New Roman" w:eastAsia="仿宋_GB2312" w:cs="仿宋_GB2312"/>
          <w:sz w:val="32"/>
          <w:szCs w:val="32"/>
          <w:lang w:val="en-US" w:eastAsia="zh-CN"/>
        </w:rPr>
        <w:t>该测评集不仅是工程监理行业大模型测评体系关键技术成果的首次发布，更是深化“人工智能+”战略在工程建设领域落地的关键一环。随着人工智能技术的广泛应用，工程监理行业将</w:t>
      </w:r>
      <w:r>
        <w:rPr>
          <w:rFonts w:hint="eastAsia" w:ascii="Times New Roman" w:hAnsi="Times New Roman" w:eastAsia="仿宋_GB2312" w:cs="仿宋_GB2312"/>
          <w:spacing w:val="-17"/>
          <w:sz w:val="32"/>
          <w:szCs w:val="32"/>
          <w:lang w:val="en-US" w:eastAsia="zh-CN"/>
        </w:rPr>
        <w:t>迎来更高质量、更可信赖的智能化转型新阶段。（上海建科咨询集团）</w:t>
      </w:r>
    </w:p>
    <w:p>
      <w:pPr>
        <w:keepNext w:val="0"/>
        <w:keepLines w:val="0"/>
        <w:pageBreakBefore w:val="0"/>
        <w:widowControl w:val="0"/>
        <w:kinsoku/>
        <w:wordWrap/>
        <w:overflowPunct/>
        <w:topLinePunct w:val="0"/>
        <w:autoSpaceDE/>
        <w:autoSpaceDN/>
        <w:bidi w:val="0"/>
        <w:adjustRightInd/>
        <w:snapToGrid/>
        <w:spacing w:line="600" w:lineRule="exact"/>
        <w:ind w:firstLine="572" w:firstLineChars="200"/>
        <w:jc w:val="both"/>
        <w:textAlignment w:val="auto"/>
        <w:rPr>
          <w:rFonts w:hint="eastAsia" w:ascii="Times New Roman" w:hAnsi="Times New Roman" w:eastAsia="仿宋_GB2312" w:cs="仿宋_GB2312"/>
          <w:spacing w:val="-17"/>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72" w:firstLineChars="200"/>
        <w:jc w:val="both"/>
        <w:textAlignment w:val="auto"/>
        <w:rPr>
          <w:rFonts w:hint="eastAsia" w:ascii="Times New Roman" w:hAnsi="Times New Roman" w:eastAsia="仿宋_GB2312" w:cs="仿宋_GB2312"/>
          <w:spacing w:val="-17"/>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临港集团深度参与2026临港科创城大会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华文中宋"/>
          <w:b w:val="0"/>
          <w:bCs/>
          <w:i w:val="0"/>
          <w:caps w:val="0"/>
          <w:spacing w:val="0"/>
          <w:kern w:val="44"/>
          <w:sz w:val="36"/>
          <w:szCs w:val="36"/>
          <w:shd w:val="clear" w:fill="FFFFFF"/>
          <w:lang w:val="en-US" w:eastAsia="zh-CN" w:bidi="ar"/>
        </w:rPr>
      </w:pPr>
      <w:r>
        <w:rPr>
          <w:rFonts w:hint="eastAsia" w:ascii="Times New Roman" w:hAnsi="Times New Roman" w:eastAsia="华文中宋" w:cs="华文中宋"/>
          <w:b w:val="0"/>
          <w:bCs/>
          <w:i w:val="0"/>
          <w:caps w:val="0"/>
          <w:spacing w:val="0"/>
          <w:kern w:val="44"/>
          <w:sz w:val="36"/>
          <w:szCs w:val="36"/>
          <w:shd w:val="clear" w:fill="FFFFFF"/>
          <w:lang w:val="en-US" w:eastAsia="zh-CN" w:bidi="ar"/>
        </w:rPr>
        <w:t>全链条赋能创新创业生态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近日，由临港集团协办的2026临港科创城大会在上海临港中心举行。本次大会以“创业来临港 陪伴你成长”为主题，推出“一揽子”创新举措，从科创社区建设到科创政策矩阵支持，从创业启航基金发布到科创生态地图布局，从滴水湖青创荟启动到高成长企业发布，通过整合政府资源与市场力量构建“成本更低、生态更优、陪伴更暖、成功率更高”的国际一流科创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期间，由临港集团旗下临港新片区经济公司、临港科技城公司作为运营主体的“滴水湖金融湾”“滴水湖国际数据港”两大科创社区正式亮相。其中，滴水湖金融湾聚焦出海服务、跨境金融等产业赛道；滴水湖国际数据港聚焦数字服务、电商直播等产业赛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为促进前沿技术与资本高效对接，大会同步举办四大产业沙龙暨项目路演活动。临港集团旗下零界魔方运营团队现场详细解读了面向超级个体的专项支持政策，吸引众多高潜力创业者关注；临创司南基金负责人全面介绍了“临港梦想基金”的投资方向、申报条件及评审规则，进一步畅通早期项目融资渠道。本次路演共推出14个优质项目，覆盖人工智能、集成电路、文化出海、数字经济等前沿赛道，现场实现项目方、投资人与行业专家的深度对接，有效链接创新资源、凝聚发展共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临港集团持续扩容科创“筑梦空间”，在大会上正式发布临港集团OPC“滴水·科创驿站”，将为初创团队提供低成本办公空间、专业化创业辅导和全周期服务，切实降低创业门槛，践行“陪伴成长”的服务理念。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未来，临港集团将持续强化科创服务体系，加快打造具有全球影响力的科技创新策源地和新兴产业集聚地，为临港新片区建设国际一流科创城贡献核心力量。（临港集团）</w:t>
      </w:r>
    </w:p>
    <w:bookmarkEnd w:id="0"/>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b w:val="0"/>
          <w:bCs w:val="0"/>
          <w:sz w:val="32"/>
          <w:szCs w:val="32"/>
          <w:lang w:val="en-US" w:eastAsia="zh-CN"/>
        </w:rPr>
      </w:pP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type Corsiva">
    <w:altName w:val="Mongolian Baiti"/>
    <w:panose1 w:val="03010101010201010101"/>
    <w:charset w:val="00"/>
    <w:family w:val="script"/>
    <w:pitch w:val="default"/>
    <w:sig w:usb0="00000000" w:usb1="00000000" w:usb2="00000000" w:usb3="00000000" w:csb0="2000009F" w:csb1="DFD70000"/>
  </w:font>
  <w:font w:name="方正舒体">
    <w:altName w:val="宋体"/>
    <w:panose1 w:val="0201060103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CF3C52" w:usb2="00000016" w:usb3="00000000" w:csb0="0004001F" w:csb1="00000000"/>
  </w:font>
  <w:font w:name="Mongolian Baiti">
    <w:panose1 w:val="03000500000000000000"/>
    <w:charset w:val="00"/>
    <w:family w:val="auto"/>
    <w:pitch w:val="default"/>
    <w:sig w:usb0="80000023" w:usb1="00000000" w:usb2="0002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3C4E"/>
    <w:rsid w:val="0189664D"/>
    <w:rsid w:val="029A7D90"/>
    <w:rsid w:val="04C9495C"/>
    <w:rsid w:val="04EE440D"/>
    <w:rsid w:val="04F922D8"/>
    <w:rsid w:val="061A6B1D"/>
    <w:rsid w:val="06236B1C"/>
    <w:rsid w:val="06476169"/>
    <w:rsid w:val="06585F98"/>
    <w:rsid w:val="06C23411"/>
    <w:rsid w:val="07EC127F"/>
    <w:rsid w:val="08135BF2"/>
    <w:rsid w:val="08FE2188"/>
    <w:rsid w:val="0A9D666F"/>
    <w:rsid w:val="0B73728A"/>
    <w:rsid w:val="0BC94856"/>
    <w:rsid w:val="0C6C6465"/>
    <w:rsid w:val="0CA7474C"/>
    <w:rsid w:val="0CB206D4"/>
    <w:rsid w:val="0D770F93"/>
    <w:rsid w:val="0DAB087B"/>
    <w:rsid w:val="0E197DBB"/>
    <w:rsid w:val="0E456E02"/>
    <w:rsid w:val="11707F65"/>
    <w:rsid w:val="119333A6"/>
    <w:rsid w:val="11EE117E"/>
    <w:rsid w:val="132B63AE"/>
    <w:rsid w:val="14CE54A9"/>
    <w:rsid w:val="14DB226E"/>
    <w:rsid w:val="14FC267E"/>
    <w:rsid w:val="158D3702"/>
    <w:rsid w:val="16795DF7"/>
    <w:rsid w:val="16E72946"/>
    <w:rsid w:val="17555BDC"/>
    <w:rsid w:val="192763CA"/>
    <w:rsid w:val="199C0963"/>
    <w:rsid w:val="1AB64BE3"/>
    <w:rsid w:val="1B1FCF3A"/>
    <w:rsid w:val="1B3721C8"/>
    <w:rsid w:val="1BCF2B71"/>
    <w:rsid w:val="1BF55E16"/>
    <w:rsid w:val="1C263E88"/>
    <w:rsid w:val="1DCB535E"/>
    <w:rsid w:val="1DFFB3F8"/>
    <w:rsid w:val="1FEB3581"/>
    <w:rsid w:val="20EE77A3"/>
    <w:rsid w:val="22453160"/>
    <w:rsid w:val="22E8419D"/>
    <w:rsid w:val="24194B61"/>
    <w:rsid w:val="24DE25E6"/>
    <w:rsid w:val="263435E5"/>
    <w:rsid w:val="263D3F96"/>
    <w:rsid w:val="285F30B0"/>
    <w:rsid w:val="2A5D464D"/>
    <w:rsid w:val="2A75410F"/>
    <w:rsid w:val="2A880E1D"/>
    <w:rsid w:val="2AA34250"/>
    <w:rsid w:val="2AA358A3"/>
    <w:rsid w:val="2AAB5DE7"/>
    <w:rsid w:val="2B603794"/>
    <w:rsid w:val="2FFD8E40"/>
    <w:rsid w:val="30347592"/>
    <w:rsid w:val="30FF0F4F"/>
    <w:rsid w:val="31045B89"/>
    <w:rsid w:val="31552F50"/>
    <w:rsid w:val="32366D6B"/>
    <w:rsid w:val="33724ED6"/>
    <w:rsid w:val="34495732"/>
    <w:rsid w:val="35FC7E3E"/>
    <w:rsid w:val="3604551F"/>
    <w:rsid w:val="365841AE"/>
    <w:rsid w:val="36B670C2"/>
    <w:rsid w:val="37042369"/>
    <w:rsid w:val="380354B4"/>
    <w:rsid w:val="38257DE4"/>
    <w:rsid w:val="38413B3E"/>
    <w:rsid w:val="385828C1"/>
    <w:rsid w:val="3B1743D8"/>
    <w:rsid w:val="3D72154A"/>
    <w:rsid w:val="3D8F3346"/>
    <w:rsid w:val="3DB04ECE"/>
    <w:rsid w:val="3DBFDC0A"/>
    <w:rsid w:val="3E151A9D"/>
    <w:rsid w:val="3E431692"/>
    <w:rsid w:val="3E6E56EE"/>
    <w:rsid w:val="3F7809C4"/>
    <w:rsid w:val="40621EEF"/>
    <w:rsid w:val="41943621"/>
    <w:rsid w:val="419C2362"/>
    <w:rsid w:val="428B0580"/>
    <w:rsid w:val="42C615B8"/>
    <w:rsid w:val="42E3376C"/>
    <w:rsid w:val="42F41DA1"/>
    <w:rsid w:val="436B0CCB"/>
    <w:rsid w:val="43BD286C"/>
    <w:rsid w:val="44A825EB"/>
    <w:rsid w:val="44B33264"/>
    <w:rsid w:val="45811D29"/>
    <w:rsid w:val="45F07FE8"/>
    <w:rsid w:val="471B22A1"/>
    <w:rsid w:val="474A4194"/>
    <w:rsid w:val="475FA5FB"/>
    <w:rsid w:val="47B55DC2"/>
    <w:rsid w:val="47BE0E01"/>
    <w:rsid w:val="47EE1F3B"/>
    <w:rsid w:val="484334C8"/>
    <w:rsid w:val="48473501"/>
    <w:rsid w:val="48603129"/>
    <w:rsid w:val="486D017A"/>
    <w:rsid w:val="4A317C5F"/>
    <w:rsid w:val="4ADC0B7C"/>
    <w:rsid w:val="4B352E5D"/>
    <w:rsid w:val="4C8B19C3"/>
    <w:rsid w:val="4EE02326"/>
    <w:rsid w:val="4FA13B0B"/>
    <w:rsid w:val="524D6E98"/>
    <w:rsid w:val="52A50EEF"/>
    <w:rsid w:val="52E57838"/>
    <w:rsid w:val="53BF637E"/>
    <w:rsid w:val="544A0227"/>
    <w:rsid w:val="54B659A7"/>
    <w:rsid w:val="55DB4292"/>
    <w:rsid w:val="55FC5C1D"/>
    <w:rsid w:val="5673586F"/>
    <w:rsid w:val="586027F4"/>
    <w:rsid w:val="590B08CA"/>
    <w:rsid w:val="59741916"/>
    <w:rsid w:val="5AA73C6B"/>
    <w:rsid w:val="5AB741C7"/>
    <w:rsid w:val="5B747123"/>
    <w:rsid w:val="5C5C0361"/>
    <w:rsid w:val="5EA11DC5"/>
    <w:rsid w:val="5EF84D97"/>
    <w:rsid w:val="60B13450"/>
    <w:rsid w:val="60B74988"/>
    <w:rsid w:val="60D30A5C"/>
    <w:rsid w:val="615355A8"/>
    <w:rsid w:val="616E1356"/>
    <w:rsid w:val="618741B1"/>
    <w:rsid w:val="61E51DE2"/>
    <w:rsid w:val="62AA45FB"/>
    <w:rsid w:val="63215D62"/>
    <w:rsid w:val="63C012CD"/>
    <w:rsid w:val="63E7059E"/>
    <w:rsid w:val="64354398"/>
    <w:rsid w:val="64671D6D"/>
    <w:rsid w:val="64F425BA"/>
    <w:rsid w:val="68364B42"/>
    <w:rsid w:val="694E2184"/>
    <w:rsid w:val="695B0665"/>
    <w:rsid w:val="6A8917B4"/>
    <w:rsid w:val="6B142D29"/>
    <w:rsid w:val="6D705AC4"/>
    <w:rsid w:val="6DB30807"/>
    <w:rsid w:val="6F51552C"/>
    <w:rsid w:val="70073196"/>
    <w:rsid w:val="71265794"/>
    <w:rsid w:val="721675B7"/>
    <w:rsid w:val="72245452"/>
    <w:rsid w:val="737C3591"/>
    <w:rsid w:val="73981936"/>
    <w:rsid w:val="73A94138"/>
    <w:rsid w:val="73AF2E6B"/>
    <w:rsid w:val="741D504A"/>
    <w:rsid w:val="74AA048A"/>
    <w:rsid w:val="761262E7"/>
    <w:rsid w:val="76543EC5"/>
    <w:rsid w:val="769C30B7"/>
    <w:rsid w:val="76FA5181"/>
    <w:rsid w:val="774E700A"/>
    <w:rsid w:val="778D033F"/>
    <w:rsid w:val="788B3CBB"/>
    <w:rsid w:val="79EF8EE7"/>
    <w:rsid w:val="7A6D6BEC"/>
    <w:rsid w:val="7B362A78"/>
    <w:rsid w:val="7B856B52"/>
    <w:rsid w:val="7BCD5EC8"/>
    <w:rsid w:val="7C211BE0"/>
    <w:rsid w:val="7C226E65"/>
    <w:rsid w:val="7D123AB2"/>
    <w:rsid w:val="7EF74642"/>
    <w:rsid w:val="7F5B6984"/>
    <w:rsid w:val="DDD7BFD8"/>
    <w:rsid w:val="DF1B1DDC"/>
    <w:rsid w:val="F7EF76BD"/>
    <w:rsid w:val="FDE7B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4843</Words>
  <Characters>5000</Characters>
  <Lines>0</Lines>
  <Paragraphs>0</Paragraphs>
  <TotalTime>14</TotalTime>
  <ScaleCrop>false</ScaleCrop>
  <LinksUpToDate>false</LinksUpToDate>
  <CharactersWithSpaces>5007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2025-11-22T22:51:00Z</dcterms:created>
  <dc:creator>user</dc:creator>
  <cp:lastModifiedBy>dingjie</cp:lastModifiedBy>
  <cp:lastPrinted>2025-12-19T16:38:00Z</cp:lastPrinted>
  <dcterms:modified xsi:type="dcterms:W3CDTF">2026-02-04T09:07:55Z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KSOTemplateDocerSaveRecord">
    <vt:lpwstr>eyJoZGlkIjoiMjIyZjllMTQ4OGEzZjYwNDg1NjBmZTBkNmFjYmI4NGUiLCJ1c2VySWQiOiI0MzYzMDI1NTAifQ==</vt:lpwstr>
  </property>
  <property fmtid="{D5CDD505-2E9C-101B-9397-08002B2CF9AE}" pid="4" name="ICV">
    <vt:lpwstr>F883260142E3F2ECD8D0606903D96224</vt:lpwstr>
  </property>
</Properties>
</file>