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D7B" w:rsidRDefault="00503D7B" w:rsidP="00503D7B">
      <w:pPr>
        <w:snapToGrid w:val="0"/>
        <w:spacing w:line="360" w:lineRule="auto"/>
        <w:jc w:val="center"/>
        <w:rPr>
          <w:rFonts w:ascii="文鼎CS中黑" w:eastAsia="文鼎CS中黑"/>
          <w:color w:val="FF0000"/>
          <w:sz w:val="72"/>
          <w:szCs w:val="72"/>
        </w:rPr>
      </w:pPr>
      <w:r>
        <w:rPr>
          <w:rFonts w:ascii="文鼎CS中黑" w:eastAsia="文鼎CS中黑" w:hint="eastAsia"/>
          <w:noProof/>
          <w:color w:val="FF0000"/>
          <w:sz w:val="72"/>
          <w:szCs w:val="72"/>
        </w:rPr>
        <w:drawing>
          <wp:inline distT="0" distB="0" distL="0" distR="0" wp14:anchorId="3448BAF4" wp14:editId="6538FD27">
            <wp:extent cx="4267200" cy="47244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0" cy="472440"/>
                    </a:xfrm>
                    <a:prstGeom prst="rect">
                      <a:avLst/>
                    </a:prstGeom>
                    <a:noFill/>
                    <a:ln>
                      <a:noFill/>
                    </a:ln>
                  </pic:spPr>
                </pic:pic>
              </a:graphicData>
            </a:graphic>
          </wp:inline>
        </w:drawing>
      </w:r>
    </w:p>
    <w:p w:rsidR="00503D7B" w:rsidRDefault="00503D7B" w:rsidP="00503D7B">
      <w:pPr>
        <w:snapToGrid w:val="0"/>
        <w:spacing w:line="360" w:lineRule="auto"/>
        <w:jc w:val="center"/>
        <w:rPr>
          <w:rFonts w:ascii="楷体_GB2312" w:eastAsia="楷体_GB2312" w:hAnsi="Arial" w:cs="Arial"/>
          <w:b/>
          <w:color w:val="000000"/>
          <w:sz w:val="18"/>
          <w:szCs w:val="18"/>
        </w:rPr>
      </w:pPr>
    </w:p>
    <w:p w:rsidR="00503D7B" w:rsidRDefault="00503D7B" w:rsidP="00503D7B">
      <w:pPr>
        <w:snapToGrid w:val="0"/>
        <w:spacing w:line="360" w:lineRule="auto"/>
        <w:jc w:val="center"/>
        <w:outlineLvl w:val="0"/>
        <w:rPr>
          <w:rFonts w:ascii="楷体_GB2312" w:eastAsia="楷体_GB2312" w:hAnsi="华文楷体"/>
          <w:b/>
          <w:color w:val="000000"/>
          <w:sz w:val="28"/>
          <w:szCs w:val="28"/>
        </w:rPr>
      </w:pPr>
      <w:r>
        <w:rPr>
          <w:rFonts w:ascii="楷体_GB2312" w:eastAsia="楷体_GB2312" w:hAnsi="华文楷体"/>
          <w:b/>
          <w:color w:val="000000"/>
          <w:sz w:val="28"/>
          <w:szCs w:val="28"/>
        </w:rPr>
        <w:t>201</w:t>
      </w:r>
      <w:r w:rsidR="007C17C3">
        <w:rPr>
          <w:rFonts w:ascii="楷体_GB2312" w:eastAsia="楷体_GB2312" w:hAnsi="华文楷体" w:hint="eastAsia"/>
          <w:b/>
          <w:color w:val="000000"/>
          <w:sz w:val="28"/>
          <w:szCs w:val="28"/>
        </w:rPr>
        <w:t>8</w:t>
      </w:r>
      <w:r>
        <w:rPr>
          <w:rFonts w:ascii="楷体_GB2312" w:eastAsia="楷体_GB2312" w:hAnsi="华文楷体" w:hint="eastAsia"/>
          <w:b/>
          <w:color w:val="000000"/>
          <w:sz w:val="28"/>
          <w:szCs w:val="28"/>
        </w:rPr>
        <w:t>年第</w:t>
      </w:r>
      <w:r w:rsidR="004070AB">
        <w:rPr>
          <w:rFonts w:ascii="楷体_GB2312" w:eastAsia="楷体_GB2312" w:hAnsi="华文楷体" w:hint="eastAsia"/>
          <w:b/>
          <w:color w:val="000000"/>
          <w:sz w:val="28"/>
          <w:szCs w:val="28"/>
        </w:rPr>
        <w:t>3</w:t>
      </w:r>
      <w:r w:rsidR="00635B39">
        <w:rPr>
          <w:rFonts w:ascii="楷体_GB2312" w:eastAsia="楷体_GB2312" w:hAnsi="华文楷体" w:hint="eastAsia"/>
          <w:b/>
          <w:color w:val="000000"/>
          <w:sz w:val="28"/>
          <w:szCs w:val="28"/>
        </w:rPr>
        <w:t>3</w:t>
      </w:r>
      <w:r>
        <w:rPr>
          <w:rFonts w:ascii="楷体_GB2312" w:eastAsia="楷体_GB2312" w:hAnsi="华文楷体" w:hint="eastAsia"/>
          <w:b/>
          <w:color w:val="000000"/>
          <w:sz w:val="28"/>
          <w:szCs w:val="28"/>
        </w:rPr>
        <w:t>期</w:t>
      </w:r>
    </w:p>
    <w:p w:rsidR="00503D7B" w:rsidRDefault="00503D7B" w:rsidP="00503D7B">
      <w:pPr>
        <w:snapToGrid w:val="0"/>
        <w:spacing w:line="360" w:lineRule="auto"/>
        <w:jc w:val="center"/>
        <w:outlineLvl w:val="0"/>
        <w:rPr>
          <w:rFonts w:ascii="楷体_GB2312" w:eastAsia="楷体_GB2312" w:hAnsi="Arial" w:cs="Arial"/>
          <w:b/>
          <w:color w:val="000000"/>
          <w:sz w:val="28"/>
          <w:szCs w:val="28"/>
        </w:rPr>
      </w:pPr>
      <w:r>
        <w:rPr>
          <w:rFonts w:ascii="楷体_GB2312" w:eastAsia="楷体_GB2312" w:hAnsi="Arial" w:cs="Arial" w:hint="eastAsia"/>
          <w:b/>
          <w:color w:val="000000"/>
          <w:sz w:val="28"/>
          <w:szCs w:val="28"/>
        </w:rPr>
        <w:t>（总第</w:t>
      </w:r>
      <w:r w:rsidR="004070AB">
        <w:rPr>
          <w:rFonts w:ascii="楷体_GB2312" w:eastAsia="楷体_GB2312" w:hAnsi="Arial" w:cs="Arial" w:hint="eastAsia"/>
          <w:b/>
          <w:color w:val="000000"/>
          <w:sz w:val="28"/>
          <w:szCs w:val="28"/>
        </w:rPr>
        <w:t>2</w:t>
      </w:r>
      <w:r w:rsidR="00635B39">
        <w:rPr>
          <w:rFonts w:ascii="楷体_GB2312" w:eastAsia="楷体_GB2312" w:hAnsi="Arial" w:cs="Arial" w:hint="eastAsia"/>
          <w:b/>
          <w:color w:val="000000"/>
          <w:sz w:val="28"/>
          <w:szCs w:val="28"/>
        </w:rPr>
        <w:t>70</w:t>
      </w:r>
      <w:r>
        <w:rPr>
          <w:rFonts w:ascii="楷体_GB2312" w:eastAsia="楷体_GB2312" w:hAnsi="Arial" w:cs="Arial" w:hint="eastAsia"/>
          <w:b/>
          <w:color w:val="000000"/>
          <w:sz w:val="28"/>
          <w:szCs w:val="28"/>
        </w:rPr>
        <w:t>期）</w:t>
      </w:r>
    </w:p>
    <w:p w:rsidR="00503D7B" w:rsidRPr="008641CA" w:rsidRDefault="00503D7B" w:rsidP="00503D7B">
      <w:pPr>
        <w:snapToGrid w:val="0"/>
        <w:spacing w:line="360" w:lineRule="auto"/>
        <w:jc w:val="center"/>
        <w:outlineLvl w:val="0"/>
        <w:rPr>
          <w:rFonts w:ascii="楷体_GB2312" w:eastAsia="楷体_GB2312" w:hAnsi="华文楷体"/>
          <w:b/>
          <w:color w:val="000000"/>
          <w:sz w:val="18"/>
          <w:szCs w:val="18"/>
        </w:rPr>
      </w:pPr>
    </w:p>
    <w:p w:rsidR="00503D7B" w:rsidRDefault="00503D7B" w:rsidP="00503D7B">
      <w:pPr>
        <w:snapToGrid w:val="0"/>
        <w:spacing w:line="360" w:lineRule="auto"/>
        <w:ind w:firstLine="360"/>
        <w:jc w:val="center"/>
        <w:outlineLvl w:val="0"/>
        <w:rPr>
          <w:rFonts w:ascii="楷体_GB2312" w:eastAsia="楷体_GB2312" w:hAnsi="Arial" w:cs="Arial"/>
          <w:b/>
          <w:color w:val="000000"/>
          <w:sz w:val="28"/>
          <w:szCs w:val="28"/>
        </w:rPr>
      </w:pPr>
      <w:r>
        <w:rPr>
          <w:noProof/>
        </w:rPr>
        <mc:AlternateContent>
          <mc:Choice Requires="wps">
            <w:drawing>
              <wp:anchor distT="4294967295" distB="4294967295" distL="114300" distR="114300" simplePos="0" relativeHeight="251659264" behindDoc="0" locked="0" layoutInCell="1" allowOverlap="1" wp14:anchorId="5654AB31" wp14:editId="09385178">
                <wp:simplePos x="0" y="0"/>
                <wp:positionH relativeFrom="column">
                  <wp:posOffset>114300</wp:posOffset>
                </wp:positionH>
                <wp:positionV relativeFrom="paragraph">
                  <wp:posOffset>287654</wp:posOffset>
                </wp:positionV>
                <wp:extent cx="52578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22.65pt" to="423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" strokecolor="red" strokeweight="1.5pt"/>
            </w:pict>
          </mc:Fallback>
        </mc:AlternateContent>
      </w:r>
      <w:r>
        <w:rPr>
          <w:rFonts w:ascii="楷体_GB2312" w:eastAsia="楷体_GB2312" w:hAnsi="Arial" w:cs="Arial" w:hint="eastAsia"/>
          <w:b/>
          <w:color w:val="000000"/>
          <w:sz w:val="28"/>
          <w:szCs w:val="28"/>
        </w:rPr>
        <w:t>上海浦东发展银行办公室</w:t>
      </w:r>
      <w:r>
        <w:rPr>
          <w:rFonts w:ascii="楷体_GB2312" w:eastAsia="楷体_GB2312" w:hAnsi="Arial" w:cs="Arial"/>
          <w:b/>
          <w:color w:val="000000"/>
          <w:sz w:val="28"/>
          <w:szCs w:val="28"/>
        </w:rPr>
        <w:t xml:space="preserve">                  201</w:t>
      </w:r>
      <w:r w:rsidR="007C17C3">
        <w:rPr>
          <w:rFonts w:ascii="楷体_GB2312" w:eastAsia="楷体_GB2312" w:hAnsi="Arial" w:cs="Arial" w:hint="eastAsia"/>
          <w:b/>
          <w:color w:val="000000"/>
          <w:sz w:val="28"/>
          <w:szCs w:val="28"/>
        </w:rPr>
        <w:t>8</w:t>
      </w:r>
      <w:r>
        <w:rPr>
          <w:rFonts w:ascii="楷体_GB2312" w:eastAsia="楷体_GB2312" w:hAnsi="Arial" w:cs="Arial" w:hint="eastAsia"/>
          <w:b/>
          <w:color w:val="000000"/>
          <w:sz w:val="28"/>
          <w:szCs w:val="28"/>
        </w:rPr>
        <w:t>年</w:t>
      </w:r>
      <w:r w:rsidR="005111A3">
        <w:rPr>
          <w:rFonts w:ascii="楷体_GB2312" w:eastAsia="楷体_GB2312" w:hAnsi="Arial" w:cs="Arial" w:hint="eastAsia"/>
          <w:b/>
          <w:color w:val="000000"/>
          <w:sz w:val="28"/>
          <w:szCs w:val="28"/>
        </w:rPr>
        <w:t>11</w:t>
      </w:r>
      <w:r>
        <w:rPr>
          <w:rFonts w:ascii="楷体_GB2312" w:eastAsia="楷体_GB2312" w:hAnsi="Arial" w:cs="Arial" w:hint="eastAsia"/>
          <w:b/>
          <w:color w:val="000000"/>
          <w:sz w:val="28"/>
          <w:szCs w:val="28"/>
        </w:rPr>
        <w:t>月</w:t>
      </w:r>
      <w:r w:rsidR="00635B39">
        <w:rPr>
          <w:rFonts w:ascii="楷体_GB2312" w:eastAsia="楷体_GB2312" w:hAnsi="Arial" w:cs="Arial" w:hint="eastAsia"/>
          <w:b/>
          <w:color w:val="000000"/>
          <w:sz w:val="28"/>
          <w:szCs w:val="28"/>
        </w:rPr>
        <w:t>29</w:t>
      </w:r>
      <w:r>
        <w:rPr>
          <w:rFonts w:ascii="楷体_GB2312" w:eastAsia="楷体_GB2312" w:hAnsi="Arial" w:cs="Arial" w:hint="eastAsia"/>
          <w:b/>
          <w:color w:val="000000"/>
          <w:sz w:val="28"/>
          <w:szCs w:val="28"/>
        </w:rPr>
        <w:t>日</w:t>
      </w:r>
    </w:p>
    <w:p w:rsidR="00AD2E68" w:rsidRPr="00635B39" w:rsidRDefault="00AD2E68" w:rsidP="00AD2E68">
      <w:pPr>
        <w:snapToGrid w:val="0"/>
        <w:spacing w:line="360" w:lineRule="auto"/>
        <w:rPr>
          <w:rFonts w:ascii="仿宋_GB2312" w:eastAsia="仿宋_GB2312" w:hAnsiTheme="minorEastAsia"/>
          <w:sz w:val="32"/>
          <w:szCs w:val="32"/>
        </w:rPr>
      </w:pPr>
    </w:p>
    <w:p w:rsidR="00635B39" w:rsidRPr="00635B39" w:rsidRDefault="00635B39" w:rsidP="00635B39">
      <w:pPr>
        <w:jc w:val="center"/>
        <w:rPr>
          <w:rFonts w:ascii="黑体" w:eastAsia="黑体" w:hAnsi="黑体" w:cs="Times New Roman" w:hint="eastAsia"/>
          <w:b/>
          <w:sz w:val="36"/>
          <w:szCs w:val="36"/>
        </w:rPr>
      </w:pPr>
      <w:r w:rsidRPr="00635B39">
        <w:rPr>
          <w:rFonts w:ascii="黑体" w:eastAsia="黑体" w:hAnsi="黑体" w:cs="Times New Roman" w:hint="eastAsia"/>
          <w:b/>
          <w:sz w:val="36"/>
          <w:szCs w:val="36"/>
        </w:rPr>
        <w:t>浦发银行发布助力上海“四大品牌”综合金融服务</w:t>
      </w:r>
    </w:p>
    <w:p w:rsidR="0068612A" w:rsidRPr="0068612A" w:rsidRDefault="00635B39" w:rsidP="00635B39">
      <w:pPr>
        <w:jc w:val="center"/>
        <w:rPr>
          <w:rFonts w:ascii="黑体" w:eastAsia="黑体" w:hAnsi="黑体" w:cs="Times New Roman"/>
          <w:b/>
          <w:sz w:val="36"/>
          <w:szCs w:val="36"/>
        </w:rPr>
      </w:pPr>
      <w:r w:rsidRPr="00635B39">
        <w:rPr>
          <w:rFonts w:ascii="黑体" w:eastAsia="黑体" w:hAnsi="黑体" w:cs="Times New Roman" w:hint="eastAsia"/>
          <w:b/>
          <w:sz w:val="36"/>
          <w:szCs w:val="36"/>
        </w:rPr>
        <w:t>方案</w:t>
      </w:r>
    </w:p>
    <w:p w:rsidR="0068612A" w:rsidRPr="00446575" w:rsidRDefault="0068612A" w:rsidP="0047128D">
      <w:pPr>
        <w:snapToGrid w:val="0"/>
        <w:spacing w:line="360" w:lineRule="auto"/>
        <w:jc w:val="center"/>
        <w:rPr>
          <w:rFonts w:ascii="黑体" w:eastAsia="黑体" w:hAnsi="黑体" w:cs="Times New Roman"/>
          <w:b/>
          <w:sz w:val="36"/>
          <w:szCs w:val="36"/>
        </w:rPr>
      </w:pPr>
    </w:p>
    <w:p w:rsidR="00635B39" w:rsidRPr="00635B39" w:rsidRDefault="00635B39" w:rsidP="00635B39">
      <w:pPr>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11月28日，</w:t>
      </w:r>
      <w:r w:rsidRPr="00635B39">
        <w:rPr>
          <w:rFonts w:ascii="仿宋_GB2312" w:eastAsia="仿宋_GB2312" w:hint="eastAsia"/>
          <w:sz w:val="32"/>
          <w:szCs w:val="32"/>
        </w:rPr>
        <w:t>浦发银行“助力上海打响‘四大品牌’综合金融服务方案1.0”正式发布。该方案从企业实际需求出发，重点包括航运、高端制造、绿色环保、自贸与海外金融、要素市场、科创、文创、零售八大重点领域特色金融服务方案，旨在为企业参与“上海服务”“上海制造”“上海购物”“上海文化”四大品牌建设提供融资和</w:t>
      </w:r>
      <w:proofErr w:type="gramStart"/>
      <w:r w:rsidRPr="00635B39">
        <w:rPr>
          <w:rFonts w:ascii="仿宋_GB2312" w:eastAsia="仿宋_GB2312" w:hint="eastAsia"/>
          <w:sz w:val="32"/>
          <w:szCs w:val="32"/>
        </w:rPr>
        <w:t>融智</w:t>
      </w:r>
      <w:proofErr w:type="gramEnd"/>
      <w:r w:rsidRPr="00635B39">
        <w:rPr>
          <w:rFonts w:ascii="仿宋_GB2312" w:eastAsia="仿宋_GB2312" w:hint="eastAsia"/>
          <w:sz w:val="32"/>
          <w:szCs w:val="32"/>
        </w:rPr>
        <w:t>的综合金融服务。</w:t>
      </w:r>
    </w:p>
    <w:p w:rsidR="00635B39" w:rsidRPr="00635B39" w:rsidRDefault="00635B39" w:rsidP="00635B39">
      <w:pPr>
        <w:snapToGrid w:val="0"/>
        <w:spacing w:line="360" w:lineRule="auto"/>
        <w:ind w:firstLineChars="200" w:firstLine="640"/>
        <w:rPr>
          <w:rFonts w:ascii="仿宋_GB2312" w:eastAsia="仿宋_GB2312" w:hint="eastAsia"/>
          <w:sz w:val="32"/>
          <w:szCs w:val="32"/>
        </w:rPr>
      </w:pPr>
      <w:r w:rsidRPr="00635B39">
        <w:rPr>
          <w:rFonts w:ascii="仿宋_GB2312" w:eastAsia="仿宋_GB2312" w:hint="eastAsia"/>
          <w:sz w:val="32"/>
          <w:szCs w:val="32"/>
        </w:rPr>
        <w:t>浦发银行高度重视上海“四大品牌”建设工作的贯彻落实，对标打响“四大品牌”的各项目标和举措，结合自身转型发展实际，研究制定了具体推进落实的工作方案和责任分工表，持续加大对“四大品牌”核心企业融资支持。截至目前，浦发银行服务上海“四大品牌”建设的贷款余额达900亿元。</w:t>
      </w:r>
    </w:p>
    <w:p w:rsidR="00635B39" w:rsidRPr="00635B39" w:rsidRDefault="00635B39" w:rsidP="00635B39">
      <w:pPr>
        <w:snapToGrid w:val="0"/>
        <w:spacing w:line="360" w:lineRule="auto"/>
        <w:ind w:firstLineChars="200" w:firstLine="643"/>
        <w:rPr>
          <w:rFonts w:ascii="仿宋_GB2312" w:eastAsia="仿宋_GB2312" w:hint="eastAsia"/>
          <w:b/>
          <w:sz w:val="32"/>
          <w:szCs w:val="32"/>
        </w:rPr>
      </w:pPr>
      <w:r w:rsidRPr="00635B39">
        <w:rPr>
          <w:rFonts w:ascii="仿宋_GB2312" w:eastAsia="仿宋_GB2312" w:hint="eastAsia"/>
          <w:b/>
          <w:sz w:val="32"/>
          <w:szCs w:val="32"/>
        </w:rPr>
        <w:lastRenderedPageBreak/>
        <w:t>助力上海服务——</w:t>
      </w:r>
      <w:proofErr w:type="gramStart"/>
      <w:r w:rsidRPr="00635B39">
        <w:rPr>
          <w:rFonts w:ascii="仿宋_GB2312" w:eastAsia="仿宋_GB2312" w:hint="eastAsia"/>
          <w:b/>
          <w:sz w:val="32"/>
          <w:szCs w:val="32"/>
        </w:rPr>
        <w:t>探索自</w:t>
      </w:r>
      <w:proofErr w:type="gramEnd"/>
      <w:r w:rsidRPr="00635B39">
        <w:rPr>
          <w:rFonts w:ascii="仿宋_GB2312" w:eastAsia="仿宋_GB2312" w:hint="eastAsia"/>
          <w:b/>
          <w:sz w:val="32"/>
          <w:szCs w:val="32"/>
        </w:rPr>
        <w:t>贸区金融服务创新</w:t>
      </w:r>
    </w:p>
    <w:p w:rsidR="00635B39" w:rsidRPr="00635B39" w:rsidRDefault="00635B39" w:rsidP="00635B39">
      <w:pPr>
        <w:snapToGrid w:val="0"/>
        <w:spacing w:line="360" w:lineRule="auto"/>
        <w:ind w:firstLineChars="200" w:firstLine="640"/>
        <w:rPr>
          <w:rFonts w:ascii="仿宋_GB2312" w:eastAsia="仿宋_GB2312" w:hint="eastAsia"/>
          <w:sz w:val="32"/>
          <w:szCs w:val="32"/>
        </w:rPr>
      </w:pPr>
      <w:r w:rsidRPr="00635B39">
        <w:rPr>
          <w:rFonts w:ascii="仿宋_GB2312" w:eastAsia="仿宋_GB2312" w:hint="eastAsia"/>
          <w:sz w:val="32"/>
          <w:szCs w:val="32"/>
        </w:rPr>
        <w:t>作为市属骨干金融企业，浦发银行致力于服务上海提升核心城市功能，充分发挥总部在上海的区位优势，在航运金融、科技金融、自贸与海外金融、要素市场等领域形成了自身特色。</w:t>
      </w:r>
    </w:p>
    <w:p w:rsidR="00635B39" w:rsidRPr="00635B39" w:rsidRDefault="00635B39" w:rsidP="00635B39">
      <w:pPr>
        <w:snapToGrid w:val="0"/>
        <w:spacing w:line="360" w:lineRule="auto"/>
        <w:ind w:firstLineChars="200" w:firstLine="640"/>
        <w:rPr>
          <w:rFonts w:ascii="仿宋_GB2312" w:eastAsia="仿宋_GB2312" w:hint="eastAsia"/>
          <w:sz w:val="32"/>
          <w:szCs w:val="32"/>
        </w:rPr>
      </w:pPr>
      <w:r w:rsidRPr="00635B39">
        <w:rPr>
          <w:rFonts w:ascii="仿宋_GB2312" w:eastAsia="仿宋_GB2312" w:hint="eastAsia"/>
          <w:sz w:val="32"/>
          <w:szCs w:val="32"/>
        </w:rPr>
        <w:t>以自贸区金融领域为例，浦发银行持续推动业务发展及产品创新，是首批通过FT分账核算单元系统验收的银行之一。截至目前，已为近3900家客户提供了高效的本外币一体化FT账户服务，FT贷款余额达到269亿元；与近160多家集团开展跨境双向人民币资金池合作，有效服务了跨国企业的资金管理。</w:t>
      </w:r>
    </w:p>
    <w:p w:rsidR="00635B39" w:rsidRPr="00635B39" w:rsidRDefault="00635B39" w:rsidP="00635B39">
      <w:pPr>
        <w:snapToGrid w:val="0"/>
        <w:spacing w:line="360" w:lineRule="auto"/>
        <w:ind w:firstLineChars="200" w:firstLine="640"/>
        <w:rPr>
          <w:rFonts w:ascii="仿宋_GB2312" w:eastAsia="仿宋_GB2312" w:hint="eastAsia"/>
          <w:sz w:val="32"/>
          <w:szCs w:val="32"/>
        </w:rPr>
      </w:pPr>
      <w:r w:rsidRPr="00635B39">
        <w:rPr>
          <w:rFonts w:ascii="仿宋_GB2312" w:eastAsia="仿宋_GB2312" w:hint="eastAsia"/>
          <w:sz w:val="32"/>
          <w:szCs w:val="32"/>
        </w:rPr>
        <w:t>在产品创新方面，浦发银行在拓展FT账户功能、扩大人民币跨境使用、推进利率市场化、建设面向国际的金融市场等各个领域开展了全方位的自贸区金融业务创新首发。比如：FT境外融资、首批上线CIPS系统、</w:t>
      </w:r>
      <w:proofErr w:type="gramStart"/>
      <w:r w:rsidRPr="00635B39">
        <w:rPr>
          <w:rFonts w:ascii="仿宋_GB2312" w:eastAsia="仿宋_GB2312" w:hint="eastAsia"/>
          <w:sz w:val="32"/>
          <w:szCs w:val="32"/>
        </w:rPr>
        <w:t>首单大宗</w:t>
      </w:r>
      <w:proofErr w:type="gramEnd"/>
      <w:r w:rsidRPr="00635B39">
        <w:rPr>
          <w:rFonts w:ascii="仿宋_GB2312" w:eastAsia="仿宋_GB2312" w:hint="eastAsia"/>
          <w:sz w:val="32"/>
          <w:szCs w:val="32"/>
        </w:rPr>
        <w:t>商品FT跨境电票、</w:t>
      </w:r>
      <w:proofErr w:type="gramStart"/>
      <w:r w:rsidRPr="00635B39">
        <w:rPr>
          <w:rFonts w:ascii="仿宋_GB2312" w:eastAsia="仿宋_GB2312" w:hint="eastAsia"/>
          <w:sz w:val="32"/>
          <w:szCs w:val="32"/>
        </w:rPr>
        <w:t>首单</w:t>
      </w:r>
      <w:proofErr w:type="gramEnd"/>
      <w:r w:rsidRPr="00635B39">
        <w:rPr>
          <w:rFonts w:ascii="仿宋_GB2312" w:eastAsia="仿宋_GB2312" w:hint="eastAsia"/>
          <w:sz w:val="32"/>
          <w:szCs w:val="32"/>
        </w:rPr>
        <w:t>FT跨境理财产品、</w:t>
      </w:r>
      <w:proofErr w:type="gramStart"/>
      <w:r w:rsidRPr="00635B39">
        <w:rPr>
          <w:rFonts w:ascii="仿宋_GB2312" w:eastAsia="仿宋_GB2312" w:hint="eastAsia"/>
          <w:sz w:val="32"/>
          <w:szCs w:val="32"/>
        </w:rPr>
        <w:t>首单</w:t>
      </w:r>
      <w:proofErr w:type="gramEnd"/>
      <w:r w:rsidRPr="00635B39">
        <w:rPr>
          <w:rFonts w:ascii="仿宋_GB2312" w:eastAsia="仿宋_GB2312" w:hint="eastAsia"/>
          <w:sz w:val="32"/>
          <w:szCs w:val="32"/>
        </w:rPr>
        <w:t>FT跨境可转债、</w:t>
      </w:r>
      <w:proofErr w:type="gramStart"/>
      <w:r w:rsidRPr="00635B39">
        <w:rPr>
          <w:rFonts w:ascii="仿宋_GB2312" w:eastAsia="仿宋_GB2312" w:hint="eastAsia"/>
          <w:sz w:val="32"/>
          <w:szCs w:val="32"/>
        </w:rPr>
        <w:t>首单全</w:t>
      </w:r>
      <w:proofErr w:type="gramEnd"/>
      <w:r w:rsidRPr="00635B39">
        <w:rPr>
          <w:rFonts w:ascii="仿宋_GB2312" w:eastAsia="仿宋_GB2312" w:hint="eastAsia"/>
          <w:sz w:val="32"/>
          <w:szCs w:val="32"/>
        </w:rPr>
        <w:t>功能跨境人民币双向资金池等。</w:t>
      </w:r>
    </w:p>
    <w:p w:rsidR="00635B39" w:rsidRPr="00635B39" w:rsidRDefault="00635B39" w:rsidP="00635B39">
      <w:pPr>
        <w:snapToGrid w:val="0"/>
        <w:spacing w:line="360" w:lineRule="auto"/>
        <w:ind w:firstLineChars="200" w:firstLine="640"/>
        <w:rPr>
          <w:rFonts w:ascii="仿宋_GB2312" w:eastAsia="仿宋_GB2312" w:hint="eastAsia"/>
          <w:sz w:val="32"/>
          <w:szCs w:val="32"/>
        </w:rPr>
      </w:pPr>
      <w:r w:rsidRPr="00635B39">
        <w:rPr>
          <w:rFonts w:ascii="仿宋_GB2312" w:eastAsia="仿宋_GB2312" w:hint="eastAsia"/>
          <w:sz w:val="32"/>
          <w:szCs w:val="32"/>
        </w:rPr>
        <w:t>在客户服务方面，浦发银行以服务实体经济需求为目标，不断完善“自贸区金融服务方案”，目前已经升级到7.0版。7.0版的方案重点加强了与要素市场、</w:t>
      </w:r>
      <w:proofErr w:type="gramStart"/>
      <w:r w:rsidRPr="00635B39">
        <w:rPr>
          <w:rFonts w:ascii="仿宋_GB2312" w:eastAsia="仿宋_GB2312" w:hint="eastAsia"/>
          <w:sz w:val="32"/>
          <w:szCs w:val="32"/>
        </w:rPr>
        <w:t>科创企业</w:t>
      </w:r>
      <w:proofErr w:type="gramEnd"/>
      <w:r w:rsidRPr="00635B39">
        <w:rPr>
          <w:rFonts w:ascii="仿宋_GB2312" w:eastAsia="仿宋_GB2312" w:hint="eastAsia"/>
          <w:sz w:val="32"/>
          <w:szCs w:val="32"/>
        </w:rPr>
        <w:t>等与上海国际金融中心建设和</w:t>
      </w:r>
      <w:proofErr w:type="gramStart"/>
      <w:r w:rsidRPr="00635B39">
        <w:rPr>
          <w:rFonts w:ascii="仿宋_GB2312" w:eastAsia="仿宋_GB2312" w:hint="eastAsia"/>
          <w:sz w:val="32"/>
          <w:szCs w:val="32"/>
        </w:rPr>
        <w:t>科创中心</w:t>
      </w:r>
      <w:proofErr w:type="gramEnd"/>
      <w:r w:rsidRPr="00635B39">
        <w:rPr>
          <w:rFonts w:ascii="仿宋_GB2312" w:eastAsia="仿宋_GB2312" w:hint="eastAsia"/>
          <w:sz w:val="32"/>
          <w:szCs w:val="32"/>
        </w:rPr>
        <w:t>建设联动的相关内容，展现了浦发银行在自</w:t>
      </w:r>
      <w:proofErr w:type="gramStart"/>
      <w:r w:rsidRPr="00635B39">
        <w:rPr>
          <w:rFonts w:ascii="仿宋_GB2312" w:eastAsia="仿宋_GB2312" w:hint="eastAsia"/>
          <w:sz w:val="32"/>
          <w:szCs w:val="32"/>
        </w:rPr>
        <w:t>贸金融</w:t>
      </w:r>
      <w:proofErr w:type="gramEnd"/>
      <w:r w:rsidRPr="00635B39">
        <w:rPr>
          <w:rFonts w:ascii="仿宋_GB2312" w:eastAsia="仿宋_GB2312" w:hint="eastAsia"/>
          <w:sz w:val="32"/>
          <w:szCs w:val="32"/>
        </w:rPr>
        <w:t>服务领域的创新实践与成果。</w:t>
      </w:r>
    </w:p>
    <w:p w:rsidR="00635B39" w:rsidRPr="00635B39" w:rsidRDefault="00635B39" w:rsidP="00635B39">
      <w:pPr>
        <w:snapToGrid w:val="0"/>
        <w:spacing w:line="360" w:lineRule="auto"/>
        <w:ind w:firstLineChars="200" w:firstLine="640"/>
        <w:rPr>
          <w:rFonts w:ascii="仿宋_GB2312" w:eastAsia="仿宋_GB2312" w:hint="eastAsia"/>
          <w:sz w:val="32"/>
          <w:szCs w:val="32"/>
        </w:rPr>
      </w:pPr>
      <w:r w:rsidRPr="00635B39">
        <w:rPr>
          <w:rFonts w:ascii="仿宋_GB2312" w:eastAsia="仿宋_GB2312" w:hint="eastAsia"/>
          <w:sz w:val="32"/>
          <w:szCs w:val="32"/>
        </w:rPr>
        <w:lastRenderedPageBreak/>
        <w:t>此外，浦发银行还将发挥“上海服务”品牌的辐射作用，全力参与和支持海南自贸区建设。目前，已在总行层面成立“海南自贸区（港）建设业务推进工作小组”；后续，将利用上海自贸区建设中积累的丰富经验，根据海南省委省政府及相关监管机构统一部署和工作安排，推动海南离岸业务及自</w:t>
      </w:r>
      <w:proofErr w:type="gramStart"/>
      <w:r w:rsidRPr="00635B39">
        <w:rPr>
          <w:rFonts w:ascii="仿宋_GB2312" w:eastAsia="仿宋_GB2312" w:hint="eastAsia"/>
          <w:sz w:val="32"/>
          <w:szCs w:val="32"/>
        </w:rPr>
        <w:t>贸业务</w:t>
      </w:r>
      <w:proofErr w:type="gramEnd"/>
      <w:r w:rsidRPr="00635B39">
        <w:rPr>
          <w:rFonts w:ascii="仿宋_GB2312" w:eastAsia="仿宋_GB2312" w:hint="eastAsia"/>
          <w:sz w:val="32"/>
          <w:szCs w:val="32"/>
        </w:rPr>
        <w:t>的创新和开展。</w:t>
      </w:r>
    </w:p>
    <w:p w:rsidR="00635B39" w:rsidRPr="00635B39" w:rsidRDefault="00635B39" w:rsidP="00635B39">
      <w:pPr>
        <w:snapToGrid w:val="0"/>
        <w:spacing w:line="360" w:lineRule="auto"/>
        <w:ind w:firstLineChars="200" w:firstLine="643"/>
        <w:rPr>
          <w:rFonts w:ascii="仿宋_GB2312" w:eastAsia="仿宋_GB2312" w:hint="eastAsia"/>
          <w:b/>
          <w:sz w:val="32"/>
          <w:szCs w:val="32"/>
        </w:rPr>
      </w:pPr>
      <w:r w:rsidRPr="00635B39">
        <w:rPr>
          <w:rFonts w:ascii="仿宋_GB2312" w:eastAsia="仿宋_GB2312" w:hint="eastAsia"/>
          <w:b/>
          <w:sz w:val="32"/>
          <w:szCs w:val="32"/>
        </w:rPr>
        <w:t>助力上海制造——以绿色金融创先支撑制造产业</w:t>
      </w:r>
    </w:p>
    <w:p w:rsidR="00635B39" w:rsidRPr="00635B39" w:rsidRDefault="00635B39" w:rsidP="00635B39">
      <w:pPr>
        <w:snapToGrid w:val="0"/>
        <w:spacing w:line="360" w:lineRule="auto"/>
        <w:ind w:firstLineChars="200" w:firstLine="640"/>
        <w:rPr>
          <w:rFonts w:ascii="仿宋_GB2312" w:eastAsia="仿宋_GB2312" w:hint="eastAsia"/>
          <w:sz w:val="32"/>
          <w:szCs w:val="32"/>
        </w:rPr>
      </w:pPr>
      <w:r w:rsidRPr="00635B39">
        <w:rPr>
          <w:rFonts w:ascii="仿宋_GB2312" w:eastAsia="仿宋_GB2312" w:hint="eastAsia"/>
          <w:sz w:val="32"/>
          <w:szCs w:val="32"/>
        </w:rPr>
        <w:t>上海制造是掌握产业链、价值</w:t>
      </w:r>
      <w:proofErr w:type="gramStart"/>
      <w:r w:rsidRPr="00635B39">
        <w:rPr>
          <w:rFonts w:ascii="仿宋_GB2312" w:eastAsia="仿宋_GB2312" w:hint="eastAsia"/>
          <w:sz w:val="32"/>
          <w:szCs w:val="32"/>
        </w:rPr>
        <w:t>链核心</w:t>
      </w:r>
      <w:proofErr w:type="gramEnd"/>
      <w:r w:rsidRPr="00635B39">
        <w:rPr>
          <w:rFonts w:ascii="仿宋_GB2312" w:eastAsia="仿宋_GB2312" w:hint="eastAsia"/>
          <w:sz w:val="32"/>
          <w:szCs w:val="32"/>
        </w:rPr>
        <w:t>环节的高端制造，是体现资源高效集约利用的绿色制造。通过绿色金融的支持，推进上海产业的集约化、低碳化发展，是浦发银行支持上海制造的重要方向。</w:t>
      </w:r>
    </w:p>
    <w:p w:rsidR="00635B39" w:rsidRPr="00635B39" w:rsidRDefault="00635B39" w:rsidP="00635B39">
      <w:pPr>
        <w:snapToGrid w:val="0"/>
        <w:spacing w:line="360" w:lineRule="auto"/>
        <w:ind w:firstLineChars="200" w:firstLine="640"/>
        <w:rPr>
          <w:rFonts w:ascii="仿宋_GB2312" w:eastAsia="仿宋_GB2312" w:hint="eastAsia"/>
          <w:sz w:val="32"/>
          <w:szCs w:val="32"/>
        </w:rPr>
      </w:pPr>
      <w:r w:rsidRPr="00635B39">
        <w:rPr>
          <w:rFonts w:ascii="仿宋_GB2312" w:eastAsia="仿宋_GB2312" w:hint="eastAsia"/>
          <w:sz w:val="32"/>
          <w:szCs w:val="32"/>
        </w:rPr>
        <w:t>浦发银行推进绿色金融的不断创新，先后完成多项国内绿色</w:t>
      </w:r>
      <w:proofErr w:type="gramStart"/>
      <w:r w:rsidRPr="00635B39">
        <w:rPr>
          <w:rFonts w:ascii="仿宋_GB2312" w:eastAsia="仿宋_GB2312" w:hint="eastAsia"/>
          <w:sz w:val="32"/>
          <w:szCs w:val="32"/>
        </w:rPr>
        <w:t>金融首单业务</w:t>
      </w:r>
      <w:proofErr w:type="gramEnd"/>
      <w:r w:rsidRPr="00635B39">
        <w:rPr>
          <w:rFonts w:ascii="仿宋_GB2312" w:eastAsia="仿宋_GB2312" w:hint="eastAsia"/>
          <w:sz w:val="32"/>
          <w:szCs w:val="32"/>
        </w:rPr>
        <w:t>，率先在银行间债券市场发行500亿元绿色金融债，积极支持绿色经济、低碳经济、循环经济发展。推出能效融资、清洁能源融资、环保金融、碳金融、绿色装备供应链融资等五大板块、十项特色产品，不仅支持</w:t>
      </w:r>
      <w:proofErr w:type="gramStart"/>
      <w:r w:rsidRPr="00635B39">
        <w:rPr>
          <w:rFonts w:ascii="仿宋_GB2312" w:eastAsia="仿宋_GB2312" w:hint="eastAsia"/>
          <w:sz w:val="32"/>
          <w:szCs w:val="32"/>
        </w:rPr>
        <w:t>了宝武集团</w:t>
      </w:r>
      <w:proofErr w:type="gramEnd"/>
      <w:r w:rsidRPr="00635B39">
        <w:rPr>
          <w:rFonts w:ascii="仿宋_GB2312" w:eastAsia="仿宋_GB2312" w:hint="eastAsia"/>
          <w:sz w:val="32"/>
          <w:szCs w:val="32"/>
        </w:rPr>
        <w:t>、上海电气、上汽集团等大型集团的节能发展，也支持了一大批中小型节能环保企业的经营发展。</w:t>
      </w:r>
    </w:p>
    <w:p w:rsidR="00635B39" w:rsidRPr="00635B39" w:rsidRDefault="00635B39" w:rsidP="00635B39">
      <w:pPr>
        <w:snapToGrid w:val="0"/>
        <w:spacing w:line="360" w:lineRule="auto"/>
        <w:ind w:firstLineChars="200" w:firstLine="640"/>
        <w:rPr>
          <w:rFonts w:ascii="仿宋_GB2312" w:eastAsia="仿宋_GB2312" w:hint="eastAsia"/>
          <w:sz w:val="32"/>
          <w:szCs w:val="32"/>
        </w:rPr>
      </w:pPr>
      <w:r w:rsidRPr="00635B39">
        <w:rPr>
          <w:rFonts w:ascii="仿宋_GB2312" w:eastAsia="仿宋_GB2312" w:hint="eastAsia"/>
          <w:sz w:val="32"/>
          <w:szCs w:val="32"/>
        </w:rPr>
        <w:t>截至6月末，浦发银行绿色信贷余额1950亿元,先后为太湖治理、滇池治理等一批国家重点环保项目提供融资支持。</w:t>
      </w:r>
    </w:p>
    <w:p w:rsidR="00635B39" w:rsidRPr="00635B39" w:rsidRDefault="00635B39" w:rsidP="00635B39">
      <w:pPr>
        <w:snapToGrid w:val="0"/>
        <w:spacing w:line="360" w:lineRule="auto"/>
        <w:ind w:firstLineChars="200" w:firstLine="643"/>
        <w:rPr>
          <w:rFonts w:ascii="仿宋_GB2312" w:eastAsia="仿宋_GB2312" w:hint="eastAsia"/>
          <w:b/>
          <w:sz w:val="32"/>
          <w:szCs w:val="32"/>
        </w:rPr>
      </w:pPr>
      <w:r w:rsidRPr="00635B39">
        <w:rPr>
          <w:rFonts w:ascii="仿宋_GB2312" w:eastAsia="仿宋_GB2312" w:hint="eastAsia"/>
          <w:b/>
          <w:sz w:val="32"/>
          <w:szCs w:val="32"/>
        </w:rPr>
        <w:t>助力上海购物——顺应消费升级打造服务新模式</w:t>
      </w:r>
    </w:p>
    <w:p w:rsidR="00635B39" w:rsidRPr="00635B39" w:rsidRDefault="00635B39" w:rsidP="00635B39">
      <w:pPr>
        <w:snapToGrid w:val="0"/>
        <w:spacing w:line="360" w:lineRule="auto"/>
        <w:ind w:firstLineChars="200" w:firstLine="640"/>
        <w:rPr>
          <w:rFonts w:ascii="仿宋_GB2312" w:eastAsia="仿宋_GB2312" w:hint="eastAsia"/>
          <w:sz w:val="32"/>
          <w:szCs w:val="32"/>
        </w:rPr>
      </w:pPr>
      <w:r w:rsidRPr="00635B39">
        <w:rPr>
          <w:rFonts w:ascii="仿宋_GB2312" w:eastAsia="仿宋_GB2312" w:hint="eastAsia"/>
          <w:sz w:val="32"/>
          <w:szCs w:val="32"/>
        </w:rPr>
        <w:t>浦发银行从消费金融、信用卡、支付结算、私人银行四</w:t>
      </w:r>
      <w:r w:rsidRPr="00635B39">
        <w:rPr>
          <w:rFonts w:ascii="仿宋_GB2312" w:eastAsia="仿宋_GB2312" w:hint="eastAsia"/>
          <w:sz w:val="32"/>
          <w:szCs w:val="32"/>
        </w:rPr>
        <w:lastRenderedPageBreak/>
        <w:t>大方面入手，依托大数据、互联网+等新兴技术支持，顺应上海消费升级大趋势，为“上海购物”品牌的建设提供多元化金融服务。</w:t>
      </w:r>
    </w:p>
    <w:p w:rsidR="00635B39" w:rsidRPr="00635B39" w:rsidRDefault="00635B39" w:rsidP="00635B39">
      <w:pPr>
        <w:snapToGrid w:val="0"/>
        <w:spacing w:line="360" w:lineRule="auto"/>
        <w:ind w:firstLineChars="200" w:firstLine="640"/>
        <w:rPr>
          <w:rFonts w:ascii="仿宋_GB2312" w:eastAsia="仿宋_GB2312" w:hint="eastAsia"/>
          <w:sz w:val="32"/>
          <w:szCs w:val="32"/>
        </w:rPr>
      </w:pPr>
      <w:r w:rsidRPr="00635B39">
        <w:rPr>
          <w:rFonts w:ascii="仿宋_GB2312" w:eastAsia="仿宋_GB2312" w:hint="eastAsia"/>
          <w:sz w:val="32"/>
          <w:szCs w:val="32"/>
        </w:rPr>
        <w:t>浦发银行聚焦上海地区核心热门商圈，先后与</w:t>
      </w:r>
      <w:proofErr w:type="gramStart"/>
      <w:r w:rsidRPr="00635B39">
        <w:rPr>
          <w:rFonts w:ascii="仿宋_GB2312" w:eastAsia="仿宋_GB2312" w:hint="eastAsia"/>
          <w:sz w:val="32"/>
          <w:szCs w:val="32"/>
        </w:rPr>
        <w:t>长宁龙</w:t>
      </w:r>
      <w:proofErr w:type="gramEnd"/>
      <w:r w:rsidRPr="00635B39">
        <w:rPr>
          <w:rFonts w:ascii="仿宋_GB2312" w:eastAsia="仿宋_GB2312" w:hint="eastAsia"/>
          <w:sz w:val="32"/>
          <w:szCs w:val="32"/>
        </w:rPr>
        <w:t>之梦、</w:t>
      </w:r>
      <w:proofErr w:type="gramStart"/>
      <w:r w:rsidRPr="00635B39">
        <w:rPr>
          <w:rFonts w:ascii="仿宋_GB2312" w:eastAsia="仿宋_GB2312" w:hint="eastAsia"/>
          <w:sz w:val="32"/>
          <w:szCs w:val="32"/>
        </w:rPr>
        <w:t>百联世纪</w:t>
      </w:r>
      <w:proofErr w:type="gramEnd"/>
      <w:r w:rsidRPr="00635B39">
        <w:rPr>
          <w:rFonts w:ascii="仿宋_GB2312" w:eastAsia="仿宋_GB2312" w:hint="eastAsia"/>
          <w:sz w:val="32"/>
          <w:szCs w:val="32"/>
        </w:rPr>
        <w:t>购物中心、紫荆广场、正大广场、金桥国际、大宁国际等15个</w:t>
      </w:r>
      <w:proofErr w:type="gramStart"/>
      <w:r w:rsidRPr="00635B39">
        <w:rPr>
          <w:rFonts w:ascii="仿宋_GB2312" w:eastAsia="仿宋_GB2312" w:hint="eastAsia"/>
          <w:sz w:val="32"/>
          <w:szCs w:val="32"/>
        </w:rPr>
        <w:t>独立商</w:t>
      </w:r>
      <w:proofErr w:type="gramEnd"/>
      <w:r w:rsidRPr="00635B39">
        <w:rPr>
          <w:rFonts w:ascii="仿宋_GB2312" w:eastAsia="仿宋_GB2312" w:hint="eastAsia"/>
          <w:sz w:val="32"/>
          <w:szCs w:val="32"/>
        </w:rPr>
        <w:t>圈、1个连锁品牌联合开展礼券银行活动，以浦发信用卡“浦大喜奔”为平台，集“购买、兑换、转赠、查询、共享”于一体，打造“线上购券、线下享受”的O2O消费新模式，在为客户提供刷卡优惠的同时，促动线下消费，以平台化连接用户和商户，积极推动消费升级，累计参与商户超过700家。</w:t>
      </w:r>
    </w:p>
    <w:p w:rsidR="00635B39" w:rsidRPr="00635B39" w:rsidRDefault="00635B39" w:rsidP="00635B39">
      <w:pPr>
        <w:snapToGrid w:val="0"/>
        <w:spacing w:line="360" w:lineRule="auto"/>
        <w:ind w:firstLineChars="200" w:firstLine="640"/>
        <w:rPr>
          <w:rFonts w:ascii="仿宋_GB2312" w:eastAsia="仿宋_GB2312" w:hint="eastAsia"/>
          <w:sz w:val="32"/>
          <w:szCs w:val="32"/>
        </w:rPr>
      </w:pPr>
      <w:r w:rsidRPr="00635B39">
        <w:rPr>
          <w:rFonts w:ascii="仿宋_GB2312" w:eastAsia="仿宋_GB2312" w:hint="eastAsia"/>
          <w:sz w:val="32"/>
          <w:szCs w:val="32"/>
        </w:rPr>
        <w:t>此外，浦发银行积极顺应国内消费升级趋势，持续加大对医疗、教育、文化、旅游、住房、公用事业等民生消费领域的投放。比如，推出全程在线申请、在线审批、在线放款的“浦银点贷”，目前已累计为1000余万个人客户提供了消费信贷服务；积极布局消费场景，创新推出业内首家</w:t>
      </w:r>
      <w:proofErr w:type="gramStart"/>
      <w:r w:rsidRPr="00635B39">
        <w:rPr>
          <w:rFonts w:ascii="仿宋_GB2312" w:eastAsia="仿宋_GB2312" w:hint="eastAsia"/>
          <w:sz w:val="32"/>
          <w:szCs w:val="32"/>
        </w:rPr>
        <w:t>以微信小</w:t>
      </w:r>
      <w:proofErr w:type="gramEnd"/>
      <w:r w:rsidRPr="00635B39">
        <w:rPr>
          <w:rFonts w:ascii="仿宋_GB2312" w:eastAsia="仿宋_GB2312" w:hint="eastAsia"/>
          <w:sz w:val="32"/>
          <w:szCs w:val="32"/>
        </w:rPr>
        <w:t>程序为载体的个人贷款在线综合金融服务平台，有效拓宽普惠金融服务范围，提升服务能力，满足客户多样化消费融资的需求。</w:t>
      </w:r>
    </w:p>
    <w:p w:rsidR="00635B39" w:rsidRPr="00635B39" w:rsidRDefault="00635B39" w:rsidP="00635B39">
      <w:pPr>
        <w:snapToGrid w:val="0"/>
        <w:spacing w:line="360" w:lineRule="auto"/>
        <w:ind w:firstLineChars="200" w:firstLine="643"/>
        <w:rPr>
          <w:rFonts w:ascii="仿宋_GB2312" w:eastAsia="仿宋_GB2312" w:hint="eastAsia"/>
          <w:b/>
          <w:sz w:val="32"/>
          <w:szCs w:val="32"/>
        </w:rPr>
      </w:pPr>
      <w:r w:rsidRPr="00635B39">
        <w:rPr>
          <w:rFonts w:ascii="仿宋_GB2312" w:eastAsia="仿宋_GB2312" w:hint="eastAsia"/>
          <w:b/>
          <w:sz w:val="32"/>
          <w:szCs w:val="32"/>
        </w:rPr>
        <w:t>助力上海文化——“文创赢”服务</w:t>
      </w:r>
      <w:proofErr w:type="gramStart"/>
      <w:r w:rsidRPr="00635B39">
        <w:rPr>
          <w:rFonts w:ascii="仿宋_GB2312" w:eastAsia="仿宋_GB2312" w:hint="eastAsia"/>
          <w:b/>
          <w:sz w:val="32"/>
          <w:szCs w:val="32"/>
        </w:rPr>
        <w:t>文创类中小</w:t>
      </w:r>
      <w:proofErr w:type="gramEnd"/>
      <w:r w:rsidRPr="00635B39">
        <w:rPr>
          <w:rFonts w:ascii="仿宋_GB2312" w:eastAsia="仿宋_GB2312" w:hint="eastAsia"/>
          <w:b/>
          <w:sz w:val="32"/>
          <w:szCs w:val="32"/>
        </w:rPr>
        <w:t>微企业</w:t>
      </w:r>
    </w:p>
    <w:p w:rsidR="00635B39" w:rsidRPr="00635B39" w:rsidRDefault="00635B39" w:rsidP="00635B39">
      <w:pPr>
        <w:snapToGrid w:val="0"/>
        <w:spacing w:line="360" w:lineRule="auto"/>
        <w:ind w:firstLineChars="200" w:firstLine="640"/>
        <w:rPr>
          <w:rFonts w:ascii="仿宋_GB2312" w:eastAsia="仿宋_GB2312" w:hint="eastAsia"/>
          <w:sz w:val="32"/>
          <w:szCs w:val="32"/>
        </w:rPr>
      </w:pPr>
      <w:r w:rsidRPr="00635B39">
        <w:rPr>
          <w:rFonts w:ascii="仿宋_GB2312" w:eastAsia="仿宋_GB2312" w:hint="eastAsia"/>
          <w:sz w:val="32"/>
          <w:szCs w:val="32"/>
        </w:rPr>
        <w:t>2017年底，上海市委市政府发布“上海文创50条”，为支持文</w:t>
      </w:r>
      <w:proofErr w:type="gramStart"/>
      <w:r w:rsidRPr="00635B39">
        <w:rPr>
          <w:rFonts w:ascii="仿宋_GB2312" w:eastAsia="仿宋_GB2312" w:hint="eastAsia"/>
          <w:sz w:val="32"/>
          <w:szCs w:val="32"/>
        </w:rPr>
        <w:t>创产业</w:t>
      </w:r>
      <w:proofErr w:type="gramEnd"/>
      <w:r w:rsidRPr="00635B39">
        <w:rPr>
          <w:rFonts w:ascii="仿宋_GB2312" w:eastAsia="仿宋_GB2312" w:hint="eastAsia"/>
          <w:sz w:val="32"/>
          <w:szCs w:val="32"/>
        </w:rPr>
        <w:t>创新发展，助力上海建</w:t>
      </w:r>
      <w:bookmarkStart w:id="0" w:name="_GoBack"/>
      <w:bookmarkEnd w:id="0"/>
      <w:r w:rsidRPr="00635B39">
        <w:rPr>
          <w:rFonts w:ascii="仿宋_GB2312" w:eastAsia="仿宋_GB2312" w:hint="eastAsia"/>
          <w:sz w:val="32"/>
          <w:szCs w:val="32"/>
        </w:rPr>
        <w:t>设卓越全球城市和国际</w:t>
      </w:r>
      <w:r w:rsidRPr="00635B39">
        <w:rPr>
          <w:rFonts w:ascii="仿宋_GB2312" w:eastAsia="仿宋_GB2312" w:hint="eastAsia"/>
          <w:sz w:val="32"/>
          <w:szCs w:val="32"/>
        </w:rPr>
        <w:lastRenderedPageBreak/>
        <w:t>文化大都市，浦发银行针对文化创意产业重创意、重智力、轻资产的独有特点，形成了专门服务文</w:t>
      </w:r>
      <w:proofErr w:type="gramStart"/>
      <w:r w:rsidRPr="00635B39">
        <w:rPr>
          <w:rFonts w:ascii="仿宋_GB2312" w:eastAsia="仿宋_GB2312" w:hint="eastAsia"/>
          <w:sz w:val="32"/>
          <w:szCs w:val="32"/>
        </w:rPr>
        <w:t>创类中小微企业</w:t>
      </w:r>
      <w:proofErr w:type="gramEnd"/>
      <w:r w:rsidRPr="00635B39">
        <w:rPr>
          <w:rFonts w:ascii="仿宋_GB2312" w:eastAsia="仿宋_GB2312" w:hint="eastAsia"/>
          <w:sz w:val="32"/>
          <w:szCs w:val="32"/>
        </w:rPr>
        <w:t>的“文创赢”综合金融服务方案，覆盖了从文创园区到园区内入驻企业，从初创期文</w:t>
      </w:r>
      <w:proofErr w:type="gramStart"/>
      <w:r w:rsidRPr="00635B39">
        <w:rPr>
          <w:rFonts w:ascii="仿宋_GB2312" w:eastAsia="仿宋_GB2312" w:hint="eastAsia"/>
          <w:sz w:val="32"/>
          <w:szCs w:val="32"/>
        </w:rPr>
        <w:t>创小微企业</w:t>
      </w:r>
      <w:proofErr w:type="gramEnd"/>
      <w:r w:rsidRPr="00635B39">
        <w:rPr>
          <w:rFonts w:ascii="仿宋_GB2312" w:eastAsia="仿宋_GB2312" w:hint="eastAsia"/>
          <w:sz w:val="32"/>
          <w:szCs w:val="32"/>
        </w:rPr>
        <w:t>到成长成熟期文创企业的全程服务。</w:t>
      </w:r>
    </w:p>
    <w:p w:rsidR="00635B39" w:rsidRPr="00635B39" w:rsidRDefault="00635B39" w:rsidP="00635B39">
      <w:pPr>
        <w:snapToGrid w:val="0"/>
        <w:spacing w:line="360" w:lineRule="auto"/>
        <w:ind w:firstLineChars="200" w:firstLine="640"/>
        <w:rPr>
          <w:rFonts w:ascii="仿宋_GB2312" w:eastAsia="仿宋_GB2312" w:hint="eastAsia"/>
          <w:sz w:val="32"/>
          <w:szCs w:val="32"/>
        </w:rPr>
      </w:pPr>
      <w:r w:rsidRPr="00635B39">
        <w:rPr>
          <w:rFonts w:ascii="仿宋_GB2312" w:eastAsia="仿宋_GB2312" w:hint="eastAsia"/>
          <w:sz w:val="32"/>
          <w:szCs w:val="32"/>
        </w:rPr>
        <w:t>此外，浦发银行与文化金融领域的专业性担保公司建立了深度合作，通过与担保公司合作，发放文化类贷款累计超过8000万元，并首次为中国舞台剧创作领域提供了金融支持。</w:t>
      </w:r>
    </w:p>
    <w:p w:rsidR="00D41240" w:rsidRPr="00952860" w:rsidRDefault="00635B39" w:rsidP="00635B39">
      <w:pPr>
        <w:snapToGrid w:val="0"/>
        <w:spacing w:line="360" w:lineRule="auto"/>
        <w:ind w:firstLineChars="200" w:firstLine="640"/>
        <w:rPr>
          <w:rFonts w:ascii="仿宋_GB2312" w:eastAsia="仿宋_GB2312"/>
          <w:sz w:val="32"/>
          <w:szCs w:val="32"/>
        </w:rPr>
      </w:pPr>
      <w:r w:rsidRPr="00635B39">
        <w:rPr>
          <w:rFonts w:ascii="仿宋_GB2312" w:eastAsia="仿宋_GB2312" w:hint="eastAsia"/>
          <w:sz w:val="32"/>
          <w:szCs w:val="32"/>
        </w:rPr>
        <w:t>未来，浦发银行将积极服务上海城市功能提升，把支持打响上海“四大品牌”与推动自身创新转型结合起来，加快转变发展方式、优化业务结构、转换增长动力，积极推动新一轮高质量发展，</w:t>
      </w:r>
      <w:proofErr w:type="gramStart"/>
      <w:r w:rsidRPr="00635B39">
        <w:rPr>
          <w:rFonts w:ascii="仿宋_GB2312" w:eastAsia="仿宋_GB2312" w:hint="eastAsia"/>
          <w:sz w:val="32"/>
          <w:szCs w:val="32"/>
        </w:rPr>
        <w:t>将浦发</w:t>
      </w:r>
      <w:proofErr w:type="gramEnd"/>
      <w:r w:rsidRPr="00635B39">
        <w:rPr>
          <w:rFonts w:ascii="仿宋_GB2312" w:eastAsia="仿宋_GB2312" w:hint="eastAsia"/>
          <w:sz w:val="32"/>
          <w:szCs w:val="32"/>
        </w:rPr>
        <w:t>银行自身打造成为全国知名、辐射全球的“上海品牌”。</w:t>
      </w:r>
    </w:p>
    <w:tbl>
      <w:tblPr>
        <w:tblpPr w:leftFromText="181" w:rightFromText="181" w:horzAnchor="margin" w:tblpXSpec="center" w:tblpYSpec="bottom"/>
        <w:tblOverlap w:val="never"/>
        <w:tblW w:w="8845" w:type="dxa"/>
        <w:tblBorders>
          <w:bottom w:val="single" w:sz="4" w:space="0" w:color="auto"/>
        </w:tblBorders>
        <w:tblCellMar>
          <w:left w:w="0" w:type="dxa"/>
          <w:right w:w="0" w:type="dxa"/>
        </w:tblCellMar>
        <w:tblLook w:val="01E0" w:firstRow="1" w:lastRow="1" w:firstColumn="1" w:lastColumn="1" w:noHBand="0" w:noVBand="0"/>
      </w:tblPr>
      <w:tblGrid>
        <w:gridCol w:w="1440"/>
        <w:gridCol w:w="7405"/>
      </w:tblGrid>
      <w:tr w:rsidR="00715654" w:rsidRPr="00213E4D" w:rsidTr="00811ACC">
        <w:tc>
          <w:tcPr>
            <w:tcW w:w="1440" w:type="dxa"/>
            <w:tcBorders>
              <w:top w:val="single" w:sz="4" w:space="0" w:color="auto"/>
              <w:left w:val="nil"/>
              <w:bottom w:val="nil"/>
              <w:right w:val="nil"/>
            </w:tcBorders>
            <w:hideMark/>
          </w:tcPr>
          <w:p w:rsidR="00715654" w:rsidRPr="00213E4D" w:rsidRDefault="00715654" w:rsidP="00811ACC">
            <w:pPr>
              <w:snapToGrid w:val="0"/>
              <w:spacing w:line="276" w:lineRule="auto"/>
              <w:rPr>
                <w:rFonts w:ascii="宋体"/>
                <w:sz w:val="24"/>
              </w:rPr>
            </w:pPr>
            <w:r w:rsidRPr="00213E4D">
              <w:rPr>
                <w:rFonts w:ascii="宋体-18030" w:eastAsia="宋体-18030" w:hAnsi="宋体-18030" w:cs="宋体-18030" w:hint="eastAsia"/>
                <w:b/>
                <w:bCs/>
                <w:sz w:val="24"/>
                <w:szCs w:val="21"/>
              </w:rPr>
              <w:t>报    送：</w:t>
            </w:r>
          </w:p>
        </w:tc>
        <w:tc>
          <w:tcPr>
            <w:tcW w:w="7405" w:type="dxa"/>
            <w:tcBorders>
              <w:top w:val="single" w:sz="4" w:space="0" w:color="auto"/>
              <w:left w:val="nil"/>
              <w:bottom w:val="nil"/>
              <w:right w:val="nil"/>
            </w:tcBorders>
            <w:vAlign w:val="center"/>
            <w:hideMark/>
          </w:tcPr>
          <w:p w:rsidR="00715654" w:rsidRPr="00213E4D" w:rsidRDefault="00715654" w:rsidP="00811ACC">
            <w:pPr>
              <w:snapToGrid w:val="0"/>
              <w:spacing w:line="360" w:lineRule="auto"/>
              <w:ind w:rightChars="50" w:right="105"/>
              <w:rPr>
                <w:rFonts w:ascii="仿宋_GB2312" w:eastAsia="仿宋_GB2312" w:hAnsi="仿宋"/>
                <w:sz w:val="30"/>
                <w:szCs w:val="30"/>
              </w:rPr>
            </w:pPr>
            <w:r w:rsidRPr="00213E4D">
              <w:rPr>
                <w:rFonts w:ascii="宋体" w:hAnsi="宋体" w:cs="宋体-18030" w:hint="eastAsia"/>
                <w:bCs/>
                <w:sz w:val="24"/>
                <w:szCs w:val="21"/>
              </w:rPr>
              <w:t>中共上海市委办公厅、上海市政府办公厅，中共上海市国有资产监督管理委员会委员会、上海市国有资产监督管理委员会，</w:t>
            </w:r>
            <w:r w:rsidR="005111A3">
              <w:rPr>
                <w:rFonts w:ascii="宋体" w:hAnsi="宋体" w:cs="宋体-18030" w:hint="eastAsia"/>
                <w:bCs/>
                <w:sz w:val="24"/>
                <w:szCs w:val="21"/>
              </w:rPr>
              <w:t>上海市发展和改革委员会，</w:t>
            </w:r>
            <w:r w:rsidRPr="00213E4D">
              <w:rPr>
                <w:rFonts w:ascii="宋体" w:hAnsi="宋体" w:cs="宋体-18030" w:hint="eastAsia"/>
                <w:bCs/>
                <w:sz w:val="24"/>
                <w:szCs w:val="21"/>
              </w:rPr>
              <w:t>中共上海市金融工作委员会、上海市金融服务办公室，中国银行业监督管理委员会、中国银行业监督管理委员会上海监管局。</w:t>
            </w:r>
          </w:p>
        </w:tc>
      </w:tr>
      <w:tr w:rsidR="00715654" w:rsidRPr="00213E4D" w:rsidTr="00811ACC">
        <w:tc>
          <w:tcPr>
            <w:tcW w:w="1440" w:type="dxa"/>
            <w:tcBorders>
              <w:top w:val="nil"/>
              <w:left w:val="nil"/>
              <w:bottom w:val="single" w:sz="4" w:space="0" w:color="auto"/>
              <w:right w:val="nil"/>
            </w:tcBorders>
            <w:hideMark/>
          </w:tcPr>
          <w:p w:rsidR="00715654" w:rsidRPr="00213E4D" w:rsidRDefault="00715654" w:rsidP="00811ACC">
            <w:pPr>
              <w:snapToGrid w:val="0"/>
              <w:spacing w:line="276" w:lineRule="auto"/>
              <w:rPr>
                <w:rFonts w:ascii="仿宋_GB2312" w:eastAsia="仿宋_GB2312" w:hAnsi="仿宋"/>
                <w:sz w:val="30"/>
                <w:szCs w:val="30"/>
              </w:rPr>
            </w:pPr>
            <w:r w:rsidRPr="00213E4D">
              <w:rPr>
                <w:rFonts w:ascii="宋体-18030" w:eastAsia="宋体-18030" w:hAnsi="宋体-18030" w:cs="宋体-18030" w:hint="eastAsia"/>
                <w:b/>
                <w:bCs/>
                <w:sz w:val="24"/>
                <w:szCs w:val="21"/>
              </w:rPr>
              <w:t>本行发送：</w:t>
            </w:r>
          </w:p>
        </w:tc>
        <w:tc>
          <w:tcPr>
            <w:tcW w:w="7405" w:type="dxa"/>
            <w:tcBorders>
              <w:top w:val="nil"/>
              <w:left w:val="nil"/>
              <w:bottom w:val="single" w:sz="4" w:space="0" w:color="auto"/>
              <w:right w:val="nil"/>
            </w:tcBorders>
            <w:vAlign w:val="center"/>
            <w:hideMark/>
          </w:tcPr>
          <w:p w:rsidR="00715654" w:rsidRPr="00213E4D" w:rsidRDefault="00715654" w:rsidP="00811ACC">
            <w:pPr>
              <w:snapToGrid w:val="0"/>
              <w:spacing w:line="276" w:lineRule="auto"/>
              <w:rPr>
                <w:rFonts w:ascii="仿宋_GB2312" w:eastAsia="仿宋_GB2312" w:hAnsi="仿宋"/>
                <w:sz w:val="30"/>
                <w:szCs w:val="30"/>
              </w:rPr>
            </w:pPr>
            <w:r w:rsidRPr="00213E4D">
              <w:rPr>
                <w:rFonts w:ascii="宋体" w:hAnsi="宋体" w:cs="宋体-18030" w:hint="eastAsia"/>
                <w:bCs/>
                <w:sz w:val="24"/>
                <w:szCs w:val="21"/>
              </w:rPr>
              <w:t>行领导</w:t>
            </w:r>
          </w:p>
        </w:tc>
      </w:tr>
    </w:tbl>
    <w:p w:rsidR="00B01473" w:rsidRPr="00DD604C" w:rsidRDefault="00B01473" w:rsidP="00D41240">
      <w:pPr>
        <w:snapToGrid w:val="0"/>
        <w:spacing w:line="360" w:lineRule="auto"/>
        <w:rPr>
          <w:rFonts w:ascii="仿宋_GB2312" w:eastAsia="仿宋_GB2312"/>
          <w:sz w:val="32"/>
          <w:szCs w:val="32"/>
        </w:rPr>
      </w:pPr>
    </w:p>
    <w:sectPr w:rsidR="00B01473" w:rsidRPr="00DD604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B1B" w:rsidRDefault="00A37B1B" w:rsidP="00DD604C">
      <w:r>
        <w:separator/>
      </w:r>
    </w:p>
  </w:endnote>
  <w:endnote w:type="continuationSeparator" w:id="0">
    <w:p w:rsidR="00A37B1B" w:rsidRDefault="00A37B1B" w:rsidP="00DD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文鼎CS中黑">
    <w:altName w:val="宋体"/>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18030">
    <w:altName w:val="Arial Unicode MS"/>
    <w:charset w:val="86"/>
    <w:family w:val="modern"/>
    <w:pitch w:val="fixed"/>
    <w:sig w:usb0="00000000" w:usb1="880F3C78" w:usb2="000A005E" w:usb3="00000000" w:csb0="00040001"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860401"/>
      <w:docPartObj>
        <w:docPartGallery w:val="Page Numbers (Bottom of Page)"/>
        <w:docPartUnique/>
      </w:docPartObj>
    </w:sdtPr>
    <w:sdtEndPr/>
    <w:sdtContent>
      <w:p w:rsidR="00DD604C" w:rsidRDefault="00DD604C">
        <w:pPr>
          <w:pStyle w:val="a5"/>
          <w:jc w:val="center"/>
        </w:pPr>
        <w:r>
          <w:fldChar w:fldCharType="begin"/>
        </w:r>
        <w:r>
          <w:instrText>PAGE   \* MERGEFORMAT</w:instrText>
        </w:r>
        <w:r>
          <w:fldChar w:fldCharType="separate"/>
        </w:r>
        <w:r w:rsidR="00635B39" w:rsidRPr="00635B39">
          <w:rPr>
            <w:noProof/>
            <w:lang w:val="zh-CN"/>
          </w:rPr>
          <w:t>5</w:t>
        </w:r>
        <w:r>
          <w:fldChar w:fldCharType="end"/>
        </w:r>
      </w:p>
    </w:sdtContent>
  </w:sdt>
  <w:p w:rsidR="00DD604C" w:rsidRDefault="00DD60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B1B" w:rsidRDefault="00A37B1B" w:rsidP="00DD604C">
      <w:r>
        <w:separator/>
      </w:r>
    </w:p>
  </w:footnote>
  <w:footnote w:type="continuationSeparator" w:id="0">
    <w:p w:rsidR="00A37B1B" w:rsidRDefault="00A37B1B" w:rsidP="00DD60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4703D"/>
    <w:multiLevelType w:val="hybridMultilevel"/>
    <w:tmpl w:val="0B647F8E"/>
    <w:lvl w:ilvl="0" w:tplc="19BE11CC">
      <w:start w:val="1"/>
      <w:numFmt w:val="japaneseCounting"/>
      <w:lvlText w:val="%1、"/>
      <w:lvlJc w:val="left"/>
      <w:pPr>
        <w:ind w:left="143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B361B79"/>
    <w:multiLevelType w:val="hybridMultilevel"/>
    <w:tmpl w:val="E18EBFBC"/>
    <w:lvl w:ilvl="0" w:tplc="AA949E5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D7B"/>
    <w:rsid w:val="0002297B"/>
    <w:rsid w:val="0007561E"/>
    <w:rsid w:val="000C0464"/>
    <w:rsid w:val="000C372E"/>
    <w:rsid w:val="000C4FBB"/>
    <w:rsid w:val="000D0002"/>
    <w:rsid w:val="000D19A3"/>
    <w:rsid w:val="000E3EFF"/>
    <w:rsid w:val="001324DF"/>
    <w:rsid w:val="00151A72"/>
    <w:rsid w:val="00155154"/>
    <w:rsid w:val="001910DB"/>
    <w:rsid w:val="001A4BE7"/>
    <w:rsid w:val="001D3081"/>
    <w:rsid w:val="001D67F6"/>
    <w:rsid w:val="0020099B"/>
    <w:rsid w:val="00212CA0"/>
    <w:rsid w:val="00214AE1"/>
    <w:rsid w:val="002242CC"/>
    <w:rsid w:val="00264938"/>
    <w:rsid w:val="00266E22"/>
    <w:rsid w:val="00286B03"/>
    <w:rsid w:val="0028704E"/>
    <w:rsid w:val="002906C5"/>
    <w:rsid w:val="002B7A72"/>
    <w:rsid w:val="002D5E19"/>
    <w:rsid w:val="002D71A4"/>
    <w:rsid w:val="002E60F4"/>
    <w:rsid w:val="002E792A"/>
    <w:rsid w:val="00312531"/>
    <w:rsid w:val="003140BD"/>
    <w:rsid w:val="00325C99"/>
    <w:rsid w:val="00335BD5"/>
    <w:rsid w:val="00337F0B"/>
    <w:rsid w:val="00344269"/>
    <w:rsid w:val="0035046F"/>
    <w:rsid w:val="003530C2"/>
    <w:rsid w:val="00370F72"/>
    <w:rsid w:val="00394B43"/>
    <w:rsid w:val="003B73A2"/>
    <w:rsid w:val="003B7908"/>
    <w:rsid w:val="003C2467"/>
    <w:rsid w:val="003D5110"/>
    <w:rsid w:val="003E258C"/>
    <w:rsid w:val="003E5B1A"/>
    <w:rsid w:val="004070AB"/>
    <w:rsid w:val="00421D17"/>
    <w:rsid w:val="0043324E"/>
    <w:rsid w:val="00441912"/>
    <w:rsid w:val="00446575"/>
    <w:rsid w:val="004509F3"/>
    <w:rsid w:val="004625D2"/>
    <w:rsid w:val="0047128D"/>
    <w:rsid w:val="004811CA"/>
    <w:rsid w:val="00497CE3"/>
    <w:rsid w:val="004B09A4"/>
    <w:rsid w:val="004C3578"/>
    <w:rsid w:val="004F166A"/>
    <w:rsid w:val="00503D7B"/>
    <w:rsid w:val="005110E7"/>
    <w:rsid w:val="005111A3"/>
    <w:rsid w:val="00515BFA"/>
    <w:rsid w:val="0052186B"/>
    <w:rsid w:val="00526339"/>
    <w:rsid w:val="00530C31"/>
    <w:rsid w:val="00534A02"/>
    <w:rsid w:val="005368CD"/>
    <w:rsid w:val="00540E11"/>
    <w:rsid w:val="00542928"/>
    <w:rsid w:val="00544C7F"/>
    <w:rsid w:val="005478CD"/>
    <w:rsid w:val="0056013F"/>
    <w:rsid w:val="00565FEF"/>
    <w:rsid w:val="005711AA"/>
    <w:rsid w:val="00571ED2"/>
    <w:rsid w:val="005908BB"/>
    <w:rsid w:val="00592D87"/>
    <w:rsid w:val="005B4970"/>
    <w:rsid w:val="005C722A"/>
    <w:rsid w:val="005D45BF"/>
    <w:rsid w:val="005E0F87"/>
    <w:rsid w:val="005F159D"/>
    <w:rsid w:val="005F464F"/>
    <w:rsid w:val="005F50B4"/>
    <w:rsid w:val="005F6753"/>
    <w:rsid w:val="00600ECA"/>
    <w:rsid w:val="00602EE4"/>
    <w:rsid w:val="0060529A"/>
    <w:rsid w:val="00624446"/>
    <w:rsid w:val="006322FD"/>
    <w:rsid w:val="00635B39"/>
    <w:rsid w:val="00672719"/>
    <w:rsid w:val="006813AE"/>
    <w:rsid w:val="0068612A"/>
    <w:rsid w:val="00687DDE"/>
    <w:rsid w:val="006B666E"/>
    <w:rsid w:val="006B6A8B"/>
    <w:rsid w:val="006B6ACF"/>
    <w:rsid w:val="006F7B1A"/>
    <w:rsid w:val="00704FC3"/>
    <w:rsid w:val="0070533B"/>
    <w:rsid w:val="00705D41"/>
    <w:rsid w:val="00715654"/>
    <w:rsid w:val="00720127"/>
    <w:rsid w:val="00744EF5"/>
    <w:rsid w:val="00745A3E"/>
    <w:rsid w:val="00760569"/>
    <w:rsid w:val="00766E72"/>
    <w:rsid w:val="00770074"/>
    <w:rsid w:val="00776550"/>
    <w:rsid w:val="00784336"/>
    <w:rsid w:val="00784FBF"/>
    <w:rsid w:val="00797CC7"/>
    <w:rsid w:val="007A03EA"/>
    <w:rsid w:val="007A04DD"/>
    <w:rsid w:val="007C17C3"/>
    <w:rsid w:val="007C1E17"/>
    <w:rsid w:val="007C461D"/>
    <w:rsid w:val="007D296A"/>
    <w:rsid w:val="007D3A69"/>
    <w:rsid w:val="007D3ACD"/>
    <w:rsid w:val="007E5BE4"/>
    <w:rsid w:val="008079E0"/>
    <w:rsid w:val="0083454F"/>
    <w:rsid w:val="0084549F"/>
    <w:rsid w:val="00854651"/>
    <w:rsid w:val="00857577"/>
    <w:rsid w:val="008737CC"/>
    <w:rsid w:val="008835CA"/>
    <w:rsid w:val="0089796A"/>
    <w:rsid w:val="008A1716"/>
    <w:rsid w:val="008B0476"/>
    <w:rsid w:val="008D5D85"/>
    <w:rsid w:val="008E3073"/>
    <w:rsid w:val="008F1AF2"/>
    <w:rsid w:val="008F73C3"/>
    <w:rsid w:val="00905386"/>
    <w:rsid w:val="009070E3"/>
    <w:rsid w:val="009104CB"/>
    <w:rsid w:val="0091407F"/>
    <w:rsid w:val="0094058D"/>
    <w:rsid w:val="00952860"/>
    <w:rsid w:val="009D1F52"/>
    <w:rsid w:val="009D4775"/>
    <w:rsid w:val="00A1097A"/>
    <w:rsid w:val="00A14E73"/>
    <w:rsid w:val="00A20B2A"/>
    <w:rsid w:val="00A37B1B"/>
    <w:rsid w:val="00A52D62"/>
    <w:rsid w:val="00A6079D"/>
    <w:rsid w:val="00A7338F"/>
    <w:rsid w:val="00A75B19"/>
    <w:rsid w:val="00A75CFA"/>
    <w:rsid w:val="00A821F2"/>
    <w:rsid w:val="00AC3727"/>
    <w:rsid w:val="00AD2E68"/>
    <w:rsid w:val="00AF0E32"/>
    <w:rsid w:val="00AF1C30"/>
    <w:rsid w:val="00B01473"/>
    <w:rsid w:val="00B256AD"/>
    <w:rsid w:val="00B43E1F"/>
    <w:rsid w:val="00B45BF5"/>
    <w:rsid w:val="00B64EA2"/>
    <w:rsid w:val="00B837AC"/>
    <w:rsid w:val="00BB6122"/>
    <w:rsid w:val="00BB768B"/>
    <w:rsid w:val="00BD3444"/>
    <w:rsid w:val="00BE0BCB"/>
    <w:rsid w:val="00C1598C"/>
    <w:rsid w:val="00C24907"/>
    <w:rsid w:val="00C558EE"/>
    <w:rsid w:val="00C577DF"/>
    <w:rsid w:val="00C63851"/>
    <w:rsid w:val="00C70989"/>
    <w:rsid w:val="00C81A25"/>
    <w:rsid w:val="00CC1C80"/>
    <w:rsid w:val="00D12962"/>
    <w:rsid w:val="00D14729"/>
    <w:rsid w:val="00D25E08"/>
    <w:rsid w:val="00D26E3B"/>
    <w:rsid w:val="00D41240"/>
    <w:rsid w:val="00D52BB4"/>
    <w:rsid w:val="00D544AD"/>
    <w:rsid w:val="00D7314E"/>
    <w:rsid w:val="00D927EB"/>
    <w:rsid w:val="00DC71AB"/>
    <w:rsid w:val="00DD604C"/>
    <w:rsid w:val="00DF569B"/>
    <w:rsid w:val="00E05E7E"/>
    <w:rsid w:val="00E2448B"/>
    <w:rsid w:val="00E36DF7"/>
    <w:rsid w:val="00E460FB"/>
    <w:rsid w:val="00E75A78"/>
    <w:rsid w:val="00E80120"/>
    <w:rsid w:val="00E80BEB"/>
    <w:rsid w:val="00E823CB"/>
    <w:rsid w:val="00E86F80"/>
    <w:rsid w:val="00E90329"/>
    <w:rsid w:val="00E905EF"/>
    <w:rsid w:val="00E940B8"/>
    <w:rsid w:val="00F01444"/>
    <w:rsid w:val="00F260D5"/>
    <w:rsid w:val="00F41295"/>
    <w:rsid w:val="00F44494"/>
    <w:rsid w:val="00F509B0"/>
    <w:rsid w:val="00F60049"/>
    <w:rsid w:val="00F673E5"/>
    <w:rsid w:val="00F72ACB"/>
    <w:rsid w:val="00F92F7E"/>
    <w:rsid w:val="00F94782"/>
    <w:rsid w:val="00FA49D5"/>
    <w:rsid w:val="00FA7534"/>
    <w:rsid w:val="00FC5D85"/>
    <w:rsid w:val="00FE521F"/>
    <w:rsid w:val="00FE5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D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03D7B"/>
    <w:rPr>
      <w:sz w:val="18"/>
      <w:szCs w:val="18"/>
    </w:rPr>
  </w:style>
  <w:style w:type="character" w:customStyle="1" w:styleId="Char">
    <w:name w:val="批注框文本 Char"/>
    <w:basedOn w:val="a0"/>
    <w:link w:val="a3"/>
    <w:uiPriority w:val="99"/>
    <w:semiHidden/>
    <w:rsid w:val="00503D7B"/>
    <w:rPr>
      <w:sz w:val="18"/>
      <w:szCs w:val="18"/>
    </w:rPr>
  </w:style>
  <w:style w:type="paragraph" w:styleId="a4">
    <w:name w:val="header"/>
    <w:basedOn w:val="a"/>
    <w:link w:val="Char0"/>
    <w:uiPriority w:val="99"/>
    <w:unhideWhenUsed/>
    <w:rsid w:val="00DD604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D604C"/>
    <w:rPr>
      <w:sz w:val="18"/>
      <w:szCs w:val="18"/>
    </w:rPr>
  </w:style>
  <w:style w:type="paragraph" w:styleId="a5">
    <w:name w:val="footer"/>
    <w:basedOn w:val="a"/>
    <w:link w:val="Char1"/>
    <w:uiPriority w:val="99"/>
    <w:unhideWhenUsed/>
    <w:rsid w:val="00DD604C"/>
    <w:pPr>
      <w:tabs>
        <w:tab w:val="center" w:pos="4153"/>
        <w:tab w:val="right" w:pos="8306"/>
      </w:tabs>
      <w:snapToGrid w:val="0"/>
      <w:jc w:val="left"/>
    </w:pPr>
    <w:rPr>
      <w:sz w:val="18"/>
      <w:szCs w:val="18"/>
    </w:rPr>
  </w:style>
  <w:style w:type="character" w:customStyle="1" w:styleId="Char1">
    <w:name w:val="页脚 Char"/>
    <w:basedOn w:val="a0"/>
    <w:link w:val="a5"/>
    <w:uiPriority w:val="99"/>
    <w:rsid w:val="00DD604C"/>
    <w:rPr>
      <w:sz w:val="18"/>
      <w:szCs w:val="18"/>
    </w:rPr>
  </w:style>
  <w:style w:type="paragraph" w:styleId="a6">
    <w:name w:val="List Paragraph"/>
    <w:basedOn w:val="a"/>
    <w:uiPriority w:val="34"/>
    <w:qFormat/>
    <w:rsid w:val="00D7314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D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03D7B"/>
    <w:rPr>
      <w:sz w:val="18"/>
      <w:szCs w:val="18"/>
    </w:rPr>
  </w:style>
  <w:style w:type="character" w:customStyle="1" w:styleId="Char">
    <w:name w:val="批注框文本 Char"/>
    <w:basedOn w:val="a0"/>
    <w:link w:val="a3"/>
    <w:uiPriority w:val="99"/>
    <w:semiHidden/>
    <w:rsid w:val="00503D7B"/>
    <w:rPr>
      <w:sz w:val="18"/>
      <w:szCs w:val="18"/>
    </w:rPr>
  </w:style>
  <w:style w:type="paragraph" w:styleId="a4">
    <w:name w:val="header"/>
    <w:basedOn w:val="a"/>
    <w:link w:val="Char0"/>
    <w:uiPriority w:val="99"/>
    <w:unhideWhenUsed/>
    <w:rsid w:val="00DD604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D604C"/>
    <w:rPr>
      <w:sz w:val="18"/>
      <w:szCs w:val="18"/>
    </w:rPr>
  </w:style>
  <w:style w:type="paragraph" w:styleId="a5">
    <w:name w:val="footer"/>
    <w:basedOn w:val="a"/>
    <w:link w:val="Char1"/>
    <w:uiPriority w:val="99"/>
    <w:unhideWhenUsed/>
    <w:rsid w:val="00DD604C"/>
    <w:pPr>
      <w:tabs>
        <w:tab w:val="center" w:pos="4153"/>
        <w:tab w:val="right" w:pos="8306"/>
      </w:tabs>
      <w:snapToGrid w:val="0"/>
      <w:jc w:val="left"/>
    </w:pPr>
    <w:rPr>
      <w:sz w:val="18"/>
      <w:szCs w:val="18"/>
    </w:rPr>
  </w:style>
  <w:style w:type="character" w:customStyle="1" w:styleId="Char1">
    <w:name w:val="页脚 Char"/>
    <w:basedOn w:val="a0"/>
    <w:link w:val="a5"/>
    <w:uiPriority w:val="99"/>
    <w:rsid w:val="00DD604C"/>
    <w:rPr>
      <w:sz w:val="18"/>
      <w:szCs w:val="18"/>
    </w:rPr>
  </w:style>
  <w:style w:type="paragraph" w:styleId="a6">
    <w:name w:val="List Paragraph"/>
    <w:basedOn w:val="a"/>
    <w:uiPriority w:val="34"/>
    <w:qFormat/>
    <w:rsid w:val="00D7314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374036">
      <w:bodyDiv w:val="1"/>
      <w:marLeft w:val="0"/>
      <w:marRight w:val="0"/>
      <w:marTop w:val="0"/>
      <w:marBottom w:val="0"/>
      <w:divBdr>
        <w:top w:val="none" w:sz="0" w:space="0" w:color="auto"/>
        <w:left w:val="none" w:sz="0" w:space="0" w:color="auto"/>
        <w:bottom w:val="none" w:sz="0" w:space="0" w:color="auto"/>
        <w:right w:val="none" w:sz="0" w:space="0" w:color="auto"/>
      </w:divBdr>
      <w:divsChild>
        <w:div w:id="1070269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625</TotalTime>
  <Pages>5</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总行办公室 曹华</cp:lastModifiedBy>
  <cp:revision>84</cp:revision>
  <cp:lastPrinted>2018-02-06T10:40:00Z</cp:lastPrinted>
  <dcterms:created xsi:type="dcterms:W3CDTF">2017-05-03T01:22:00Z</dcterms:created>
  <dcterms:modified xsi:type="dcterms:W3CDTF">2018-11-29T02:05:00Z</dcterms:modified>
</cp:coreProperties>
</file>