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640" w:lineRule="exact"/>
        <w:ind w:left="0"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before="0" w:after="0" w:line="640" w:lineRule="exact"/>
        <w:ind w:left="0" w:leftChars="0" w:right="0" w:firstLine="0" w:firstLineChars="0"/>
        <w:jc w:val="both"/>
        <w:textAlignment w:val="auto"/>
        <w:outlineLvl w:val="9"/>
        <w:rPr>
          <w:rFonts w:hint="default" w:ascii="Times New Roman" w:hAnsi="Times New Roman" w:eastAsia="华文中宋" w:cs="Times New Roman"/>
          <w:sz w:val="44"/>
          <w:szCs w:val="44"/>
          <w:lang w:eastAsia="zh-CN"/>
        </w:rPr>
      </w:pPr>
    </w:p>
    <w:p>
      <w:pPr>
        <w:widowControl w:val="0"/>
        <w:wordWrap/>
        <w:adjustRightInd/>
        <w:snapToGrid/>
        <w:spacing w:before="0" w:after="0" w:line="640" w:lineRule="exact"/>
        <w:ind w:left="0" w:leftChars="0" w:right="0" w:firstLine="0" w:firstLineChars="0"/>
        <w:jc w:val="center"/>
        <w:textAlignment w:val="auto"/>
        <w:outlineLvl w:val="9"/>
        <w:rPr>
          <w:rFonts w:hint="default" w:ascii="Times New Roman" w:hAnsi="Times New Roman" w:eastAsia="华文中宋" w:cs="Times New Roman"/>
          <w:sz w:val="36"/>
          <w:szCs w:val="36"/>
          <w:lang w:eastAsia="zh-CN"/>
        </w:rPr>
      </w:pPr>
      <w:r>
        <w:rPr>
          <w:rFonts w:hint="default" w:ascii="Times New Roman" w:hAnsi="Times New Roman" w:eastAsia="华文中宋" w:cs="Times New Roman"/>
          <w:sz w:val="36"/>
          <w:szCs w:val="36"/>
          <w:lang w:val="en-US" w:eastAsia="zh-CN"/>
        </w:rPr>
        <w:t>2022年</w:t>
      </w:r>
      <w:r>
        <w:rPr>
          <w:rFonts w:hint="eastAsia" w:ascii="Times New Roman" w:hAnsi="Times New Roman" w:eastAsia="华文中宋" w:cs="Times New Roman"/>
          <w:sz w:val="36"/>
          <w:szCs w:val="36"/>
          <w:lang w:val="en-US" w:eastAsia="zh-CN"/>
        </w:rPr>
        <w:t>度</w:t>
      </w:r>
      <w:r>
        <w:rPr>
          <w:rFonts w:hint="default" w:ascii="Times New Roman" w:hAnsi="Times New Roman" w:eastAsia="华文中宋" w:cs="Times New Roman"/>
          <w:sz w:val="36"/>
          <w:szCs w:val="36"/>
          <w:lang w:val="en-US" w:eastAsia="zh-CN"/>
        </w:rPr>
        <w:t>上海市</w:t>
      </w:r>
      <w:r>
        <w:rPr>
          <w:rFonts w:hint="eastAsia" w:ascii="Times New Roman" w:hAnsi="Times New Roman" w:eastAsia="华文中宋" w:cs="Times New Roman"/>
          <w:sz w:val="36"/>
          <w:szCs w:val="36"/>
          <w:lang w:val="en-US" w:eastAsia="zh-CN"/>
        </w:rPr>
        <w:t>国资委</w:t>
      </w:r>
      <w:r>
        <w:rPr>
          <w:rFonts w:hint="default" w:ascii="Times New Roman" w:hAnsi="Times New Roman" w:eastAsia="华文中宋" w:cs="Times New Roman"/>
          <w:sz w:val="36"/>
          <w:szCs w:val="36"/>
          <w:lang w:val="en-US" w:eastAsia="zh-CN"/>
        </w:rPr>
        <w:t>重点课题研究指南</w:t>
      </w:r>
    </w:p>
    <w:p>
      <w:pPr>
        <w:widowControl w:val="0"/>
        <w:wordWrap/>
        <w:adjustRightInd/>
        <w:snapToGrid/>
        <w:spacing w:before="0" w:after="0" w:line="640" w:lineRule="exact"/>
        <w:ind w:left="0"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widowControl w:val="0"/>
        <w:wordWrap/>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一、新经济背景下完善国资监管体制研究</w:t>
      </w:r>
    </w:p>
    <w:p>
      <w:pPr>
        <w:widowControl w:val="0"/>
        <w:wordWrap/>
        <w:adjustRightInd/>
        <w:snapToGrid/>
        <w:spacing w:line="6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《公司法》的修订对健全国有企业公司治理机制、完善国资监管体系提出了新的要求，上海要正确处理率先改革与规范改革的关系，重点</w:t>
      </w:r>
      <w:r>
        <w:rPr>
          <w:rFonts w:hint="default" w:ascii="Times New Roman" w:hAnsi="Times New Roman" w:eastAsia="仿宋_GB2312" w:cs="Times New Roman"/>
          <w:sz w:val="32"/>
          <w:szCs w:val="32"/>
        </w:rPr>
        <w:t>在建立健全有中国特色的国资监管体系和现代企业公司治理架构上率先</w:t>
      </w:r>
      <w:r>
        <w:rPr>
          <w:rFonts w:hint="default" w:ascii="Times New Roman" w:hAnsi="Times New Roman" w:eastAsia="仿宋_GB2312" w:cs="Times New Roman"/>
          <w:sz w:val="32"/>
          <w:szCs w:val="32"/>
          <w:lang w:eastAsia="zh-CN"/>
        </w:rPr>
        <w:t>实现</w:t>
      </w:r>
      <w:r>
        <w:rPr>
          <w:rFonts w:hint="default" w:ascii="Times New Roman" w:hAnsi="Times New Roman" w:eastAsia="仿宋_GB2312" w:cs="Times New Roman"/>
          <w:sz w:val="32"/>
          <w:szCs w:val="32"/>
        </w:rPr>
        <w:t>突破创新</w:t>
      </w:r>
      <w:r>
        <w:rPr>
          <w:rFonts w:hint="default" w:ascii="Times New Roman" w:hAnsi="Times New Roman" w:eastAsia="仿宋_GB2312" w:cs="Times New Roman"/>
          <w:sz w:val="32"/>
          <w:szCs w:val="32"/>
          <w:lang w:eastAsia="zh-CN"/>
        </w:rPr>
        <w:t>。在此背景下，市国资委开展</w:t>
      </w:r>
      <w:r>
        <w:rPr>
          <w:rFonts w:hint="default" w:ascii="Times New Roman" w:hAnsi="Times New Roman" w:eastAsia="仿宋_GB2312" w:cs="Times New Roman"/>
          <w:sz w:val="32"/>
          <w:szCs w:val="32"/>
          <w:lang w:val="en-US" w:eastAsia="zh-CN"/>
        </w:rPr>
        <w:t>新经济背景下完善国资监管体制的研究。</w:t>
      </w:r>
    </w:p>
    <w:p>
      <w:pPr>
        <w:widowControl w:val="0"/>
        <w:wordWrap/>
        <w:adjustRightInd/>
        <w:snapToGrid/>
        <w:spacing w:line="6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本课题重点研究以下内容：</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全面系统梳理1997年以来上海在加强国资监管、完善监管体系等方面的实践历程；</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结合《公司法》修订内容，分析当前上海国资监管存在的短板和问题；</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分析当前国资监管面临的新形势和新要求；</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lang w:val="en-US" w:eastAsia="zh-CN"/>
        </w:rPr>
        <w:t>从创新优化监管方式、健全完善制度体系、提升国资监管效能和国企治理能力等角度，研究提出进一步完善国资监管体制机制的总体思路和对策建议。</w:t>
      </w:r>
    </w:p>
    <w:p>
      <w:pPr>
        <w:widowControl w:val="0"/>
        <w:wordWrap/>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二、关于深化推进市国资委系统企业产业工人队伍建设改革的研究</w:t>
      </w:r>
    </w:p>
    <w:p>
      <w:pPr>
        <w:widowControl w:val="0"/>
        <w:wordWrap/>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产业工人是上海国资国企改革发展顺利推进的重要支撑和基础保障，为进一步提升国有企业产业工人技能素质，</w:t>
      </w:r>
      <w:bookmarkStart w:id="0" w:name="_GoBack"/>
      <w:bookmarkEnd w:id="0"/>
      <w:r>
        <w:rPr>
          <w:rFonts w:hint="default" w:ascii="Times New Roman" w:hAnsi="Times New Roman" w:eastAsia="仿宋_GB2312" w:cs="Times New Roman"/>
          <w:sz w:val="32"/>
          <w:szCs w:val="32"/>
          <w:highlight w:val="none"/>
          <w:lang w:val="en-US" w:eastAsia="zh-CN"/>
        </w:rPr>
        <w:t>加快打造知识型、技能型、创新型的劳动者队伍，稳步推动国有企业高质量发展，市国资委开展深化推进系统企业产业工人队伍建设改革研究。</w:t>
      </w:r>
    </w:p>
    <w:p>
      <w:pPr>
        <w:widowControl w:val="0"/>
        <w:wordWrap/>
        <w:adjustRightInd/>
        <w:snapToGrid/>
        <w:spacing w:line="64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本课题重点研究以下内容：</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highlight w:val="none"/>
          <w:lang w:val="en-US" w:eastAsia="zh-CN"/>
        </w:rPr>
        <w:t>通过调研梳理市国资委系统企业产业工人队伍建设现状，分析面临的挑战和存在的问题；</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highlight w:val="none"/>
          <w:lang w:val="en-US" w:eastAsia="zh-CN"/>
        </w:rPr>
        <w:t>选取2-3家产业工人队伍建设改革走在前列的系统企业作为典型案例进行剖析，梳理总结成熟做法和成功经验；</w:t>
      </w:r>
      <w:r>
        <w:rPr>
          <w:rFonts w:hint="default" w:ascii="Times New Roman" w:hAnsi="Times New Roman" w:eastAsia="仿宋_GB2312" w:cs="Times New Roman"/>
          <w:b/>
          <w:bCs/>
          <w:sz w:val="32"/>
          <w:szCs w:val="32"/>
          <w:highlight w:val="none"/>
          <w:lang w:val="en-US" w:eastAsia="zh-CN"/>
        </w:rPr>
        <w:t>三是</w:t>
      </w:r>
      <w:r>
        <w:rPr>
          <w:rFonts w:hint="default" w:ascii="Times New Roman" w:hAnsi="Times New Roman" w:eastAsia="仿宋_GB2312" w:cs="Times New Roman"/>
          <w:b w:val="0"/>
          <w:bCs w:val="0"/>
          <w:sz w:val="32"/>
          <w:szCs w:val="32"/>
          <w:highlight w:val="none"/>
          <w:lang w:val="en-US" w:eastAsia="zh-CN"/>
        </w:rPr>
        <w:t>与</w:t>
      </w:r>
      <w:r>
        <w:rPr>
          <w:rFonts w:hint="default" w:ascii="Times New Roman" w:hAnsi="Times New Roman" w:eastAsia="仿宋_GB2312" w:cs="Times New Roman"/>
          <w:sz w:val="32"/>
          <w:szCs w:val="32"/>
          <w:highlight w:val="none"/>
          <w:lang w:val="en-US" w:eastAsia="zh-CN"/>
        </w:rPr>
        <w:t>兄弟省市产业工作队伍建设改革的先进做法进行对标分析，找出差距和不足；</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highlight w:val="none"/>
          <w:lang w:val="en-US" w:eastAsia="zh-CN"/>
        </w:rPr>
        <w:t>结合上海国资产业布局和产业工人发展需要，聚焦构建技能形成体系、拓宽晋升通道、完善薪酬分配制度、健全激励约束机制等方面，研究提出推进系统企业产业工人队伍建设改革的举措建议。</w:t>
      </w:r>
    </w:p>
    <w:p>
      <w:pPr>
        <w:widowControl w:val="0"/>
        <w:wordWrap/>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三、关于优化国有控股上市公司股权结构的研究</w:t>
      </w:r>
    </w:p>
    <w:p>
      <w:pPr>
        <w:widowControl w:val="0"/>
        <w:wordWrap/>
        <w:adjustRightInd/>
        <w:snapToGrid/>
        <w:spacing w:line="6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为进一步深化混合所有制改革，充分发挥资本市场资源配置效用，提升本市国有控股上市公司治理水平，强化本市国有控股上市公司抗风险能力，市国资委开展优化国有控股上市公司股权结构研究。</w:t>
      </w:r>
    </w:p>
    <w:p>
      <w:pPr>
        <w:widowControl w:val="0"/>
        <w:wordWrap/>
        <w:adjustRightInd/>
        <w:snapToGrid/>
        <w:spacing w:line="6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本课题重点研究以下内容：</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梳理总结本市国有控股上市公司股权结构现状情况，结合国资布局规划、可比公司情况、集团主业战略以及上市公司资本运作计划等，分析存在的主要问题并提出总体优化设想；</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针对目前面临的部分上市公司控股股东持股比例较高、部分上市公司股权过于分散国资控制力不强，以及部分国有金融上市公司如何平衡资本补充需求和维持国有控制力等问题，选择典型企业提出优化方案。</w:t>
      </w:r>
    </w:p>
    <w:p>
      <w:pPr>
        <w:widowControl w:val="0"/>
        <w:wordWrap/>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四、市属国有企业数据资产化实践研究</w:t>
      </w:r>
    </w:p>
    <w:p>
      <w:pPr>
        <w:widowControl w:val="0"/>
        <w:wordWrap/>
        <w:adjustRightInd/>
        <w:snapToGrid/>
        <w:spacing w:line="6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落实市委、市政府“以数据要素为核心，形成新治理力和生产力”的要求，积极探索数据资产纳入国有资产保值增值考核方式方法，充分发挥数据赋能的“放大、叠加、倍增”效应，市国资委开展市属国有企业数据资产化实践研究。</w:t>
      </w:r>
    </w:p>
    <w:p>
      <w:pPr>
        <w:widowControl w:val="0"/>
        <w:wordWrap/>
        <w:adjustRightInd/>
        <w:snapToGrid/>
        <w:spacing w:line="6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本课题重点研究以下内容：</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围绕数据治理、财务核算处理、估值、数据流通交易等数据资产关键环节，研究提出符合国有企业实际的数据资产价值评估、评价方法；</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选取若干典型企业进行探索与实践，并进行案例分析，确立数据价值实现路径；</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立足抢占数字新赛道，明确国资数据资源需求和供给，聚焦如何打破行业壁垒，发挥国有企业行业数据资源优势与引领作用，分级分类提出进一步推进数据资源化、资产化、资本化的对策建议。</w:t>
      </w:r>
    </w:p>
    <w:p>
      <w:pPr>
        <w:widowControl w:val="0"/>
        <w:wordWrap/>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五、深化工资决定机制改革、积极探索共同富裕实现路径研究</w:t>
      </w:r>
    </w:p>
    <w:p>
      <w:pPr>
        <w:widowControl w:val="0"/>
        <w:wordWrap/>
        <w:adjustRightInd/>
        <w:snapToGrid/>
        <w:spacing w:before="0" w:beforeLines="0" w:after="0" w:afterLines="0" w:line="640" w:lineRule="exact"/>
        <w:ind w:left="0" w:leftChars="0" w:right="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kern w:val="2"/>
          <w:sz w:val="32"/>
          <w:szCs w:val="32"/>
          <w:lang w:eastAsia="zh-CN"/>
        </w:rPr>
        <w:t>为进一步完善上海国有企业收入分配，</w:t>
      </w:r>
      <w:r>
        <w:rPr>
          <w:rFonts w:hint="default" w:ascii="Times New Roman" w:hAnsi="Times New Roman" w:eastAsia="仿宋_GB2312" w:cs="Times New Roman"/>
          <w:sz w:val="32"/>
          <w:szCs w:val="32"/>
          <w:lang w:val="en-US" w:eastAsia="zh-CN"/>
        </w:rPr>
        <w:t>深入开展“三能机制”专项行动，</w:t>
      </w:r>
      <w:r>
        <w:rPr>
          <w:rFonts w:hint="default" w:ascii="Times New Roman" w:hAnsi="Times New Roman" w:eastAsia="仿宋_GB2312" w:cs="Times New Roman"/>
          <w:sz w:val="32"/>
          <w:szCs w:val="32"/>
        </w:rPr>
        <w:t>促进企业收入分配格局合理有序</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kern w:val="2"/>
          <w:sz w:val="32"/>
          <w:szCs w:val="32"/>
        </w:rPr>
        <w:t>助推</w:t>
      </w:r>
      <w:r>
        <w:rPr>
          <w:rFonts w:hint="default" w:ascii="Times New Roman" w:hAnsi="Times New Roman" w:eastAsia="仿宋_GB2312" w:cs="Times New Roman"/>
          <w:kern w:val="2"/>
          <w:sz w:val="32"/>
          <w:szCs w:val="32"/>
          <w:lang w:eastAsia="zh-CN"/>
        </w:rPr>
        <w:t>企业</w:t>
      </w:r>
      <w:r>
        <w:rPr>
          <w:rFonts w:hint="default" w:ascii="Times New Roman" w:hAnsi="Times New Roman" w:eastAsia="仿宋_GB2312" w:cs="Times New Roman"/>
          <w:kern w:val="2"/>
          <w:sz w:val="32"/>
          <w:szCs w:val="32"/>
        </w:rPr>
        <w:t>高质量发展</w:t>
      </w:r>
      <w:r>
        <w:rPr>
          <w:rFonts w:hint="default" w:ascii="Times New Roman" w:hAnsi="Times New Roman" w:eastAsia="仿宋_GB2312" w:cs="Times New Roman"/>
          <w:kern w:val="2"/>
          <w:sz w:val="32"/>
          <w:szCs w:val="32"/>
          <w:lang w:eastAsia="zh-CN"/>
        </w:rPr>
        <w:t>，市国资委开展</w:t>
      </w:r>
      <w:r>
        <w:rPr>
          <w:rFonts w:hint="default" w:ascii="Times New Roman" w:hAnsi="Times New Roman" w:eastAsia="仿宋_GB2312" w:cs="Times New Roman"/>
          <w:kern w:val="2"/>
          <w:sz w:val="32"/>
          <w:szCs w:val="32"/>
          <w:lang w:val="en-US" w:eastAsia="zh-CN"/>
        </w:rPr>
        <w:t>深化工资决定机制改革相关研究。</w:t>
      </w:r>
    </w:p>
    <w:p>
      <w:pPr>
        <w:widowControl w:val="0"/>
        <w:wordWrap/>
        <w:adjustRightInd/>
        <w:snapToGrid/>
        <w:spacing w:line="6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本课题重点研究以下内容：</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对上海国有企业现行工资决定机制改革的政策及监管企业执行情况进行全面评估，总结经验、剖析问题，并与国家、国务院国资委及财政部、兄弟省市有关改革文件进行比较分析；</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lang w:val="en-US" w:eastAsia="zh-CN"/>
        </w:rPr>
        <w:t>分析</w:t>
      </w:r>
      <w:r>
        <w:rPr>
          <w:rFonts w:hint="default" w:ascii="Times New Roman" w:hAnsi="Times New Roman" w:eastAsia="仿宋_GB2312" w:cs="Times New Roman"/>
          <w:sz w:val="32"/>
          <w:szCs w:val="32"/>
        </w:rPr>
        <w:t>集成电路、生物医药、人工智能</w:t>
      </w:r>
      <w:r>
        <w:rPr>
          <w:rFonts w:hint="default" w:ascii="Times New Roman" w:hAnsi="Times New Roman" w:eastAsia="仿宋_GB2312" w:cs="Times New Roman"/>
          <w:sz w:val="32"/>
          <w:szCs w:val="32"/>
          <w:lang w:eastAsia="zh-CN"/>
        </w:rPr>
        <w:t>等三大先导产业领域的关键岗位、关键人才的工资现状及市场对标情况，并提出国资国企在三大先导产业领域人才布局思路及对策建议；</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bCs/>
          <w:sz w:val="32"/>
          <w:szCs w:val="32"/>
          <w:lang w:eastAsia="zh-CN"/>
        </w:rPr>
        <w:t>结合</w:t>
      </w:r>
      <w:r>
        <w:rPr>
          <w:rFonts w:hint="default" w:ascii="Times New Roman" w:hAnsi="Times New Roman" w:eastAsia="仿宋_GB2312" w:cs="Times New Roman"/>
          <w:kern w:val="2"/>
          <w:sz w:val="32"/>
          <w:szCs w:val="32"/>
          <w:lang w:eastAsia="zh-CN"/>
        </w:rPr>
        <w:t>国家共同富裕的政策导向和</w:t>
      </w:r>
      <w:r>
        <w:rPr>
          <w:rFonts w:hint="default" w:ascii="Times New Roman" w:hAnsi="Times New Roman" w:eastAsia="仿宋_GB2312" w:cs="Times New Roman"/>
          <w:kern w:val="2"/>
          <w:sz w:val="32"/>
          <w:szCs w:val="32"/>
        </w:rPr>
        <w:t>企业实际，与时俱进、大胆创新，</w:t>
      </w:r>
      <w:r>
        <w:rPr>
          <w:rFonts w:hint="default" w:ascii="Times New Roman" w:hAnsi="Times New Roman" w:eastAsia="仿宋_GB2312" w:cs="Times New Roman"/>
          <w:kern w:val="2"/>
          <w:sz w:val="32"/>
          <w:szCs w:val="32"/>
          <w:lang w:eastAsia="zh-CN"/>
        </w:rPr>
        <w:t>提出</w:t>
      </w:r>
      <w:r>
        <w:rPr>
          <w:rFonts w:hint="default" w:ascii="Times New Roman" w:hAnsi="Times New Roman" w:eastAsia="仿宋_GB2312" w:cs="Times New Roman"/>
          <w:sz w:val="32"/>
          <w:szCs w:val="32"/>
          <w:lang w:val="en-US" w:eastAsia="zh-CN"/>
        </w:rPr>
        <w:t>制定新一轮工资决定机制</w:t>
      </w:r>
      <w:r>
        <w:rPr>
          <w:rFonts w:hint="default" w:ascii="Times New Roman" w:hAnsi="Times New Roman" w:eastAsia="仿宋_GB2312" w:cs="Times New Roman"/>
          <w:kern w:val="2"/>
          <w:sz w:val="32"/>
          <w:szCs w:val="32"/>
          <w:lang w:eastAsia="zh-CN"/>
        </w:rPr>
        <w:t>改革政策的</w:t>
      </w:r>
      <w:r>
        <w:rPr>
          <w:rFonts w:hint="default" w:ascii="Times New Roman" w:hAnsi="Times New Roman" w:eastAsia="仿宋_GB2312" w:cs="Times New Roman"/>
          <w:sz w:val="32"/>
          <w:szCs w:val="32"/>
          <w:lang w:eastAsia="zh-CN"/>
        </w:rPr>
        <w:t>总体思路和对策建议，促进本市国有企业形成更加</w:t>
      </w:r>
      <w:r>
        <w:rPr>
          <w:rFonts w:hint="default" w:ascii="Times New Roman" w:hAnsi="Times New Roman" w:eastAsia="仿宋_GB2312" w:cs="Times New Roman"/>
          <w:bCs/>
          <w:sz w:val="32"/>
          <w:szCs w:val="32"/>
        </w:rPr>
        <w:t>体现效率和公平的收入分配方式</w:t>
      </w:r>
      <w:r>
        <w:rPr>
          <w:rFonts w:hint="default" w:ascii="Times New Roman" w:hAnsi="Times New Roman" w:eastAsia="仿宋_GB2312" w:cs="Times New Roman"/>
          <w:bCs/>
          <w:sz w:val="32"/>
          <w:szCs w:val="32"/>
          <w:lang w:eastAsia="zh-CN"/>
        </w:rPr>
        <w:t>。</w:t>
      </w:r>
    </w:p>
    <w:p>
      <w:pPr>
        <w:widowControl w:val="0"/>
        <w:wordWrap/>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六、私募股权投资基金管理人评价体系研究</w:t>
      </w:r>
    </w:p>
    <w:p>
      <w:pPr>
        <w:widowControl w:val="0"/>
        <w:wordWrap/>
        <w:adjustRightInd/>
        <w:snapToGrid/>
        <w:spacing w:line="6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进一步加强私募股权投资基金管理人监管，推动监管企业规范私募股权投资基金业务，防范私募股权基金投资风险，促进基金业务健康有序发展，充分发挥基金对经济发展的促进作用，市国资委开展私募股权投资基金管理人评价体系研究。</w:t>
      </w:r>
    </w:p>
    <w:p>
      <w:pPr>
        <w:widowControl w:val="0"/>
        <w:wordWrap/>
        <w:adjustRightInd/>
        <w:snapToGrid/>
        <w:spacing w:line="6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本课题重点研究以下内容：</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分析当前监管企业投资基金发展特点及管理要求，提出私募股权投资基金管理人评价体系研究的目标及方法；</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研究中基协、清科等外部机构的管理人评价指标体系，结合上海国企投资基金特点，分析其在实际应用中的优势与不足；</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针对政府投资基金、战略投资基金、财务投资基金、创业投资基金、股权投资基金、母基金不同类型管理人，设计定性与定量相结合的评价指标及权重，研究提出分类分层评价体系；</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lang w:val="en-US" w:eastAsia="zh-CN"/>
        </w:rPr>
        <w:t>结合实例，提出私募股权投资基金管理人评价体系的应用方法与建议，形成符合上海国资特点的可操作、可落地的管理人评价体系。</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B8652F7"/>
    <w:rsid w:val="35886211"/>
    <w:rsid w:val="3FA04F25"/>
    <w:rsid w:val="402902AE"/>
    <w:rsid w:val="64076A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2021-02-20T09:54:00Z</dcterms:created>
  <dc:creator>admin</dc:creator>
  <cp:lastModifiedBy>姜静</cp:lastModifiedBy>
  <dcterms:modified xsi:type="dcterms:W3CDTF">2022-02-17T04:39:21Z</dcterms:modified>
  <dc:title>2021年上海市国有资产监督管理委员会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