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b/>
          <w:sz w:val="32"/>
          <w:lang w:val="en-US" w:eastAsia="zh-CN"/>
        </w:rPr>
        <w:t>30</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21年9月</w:t>
      </w:r>
      <w:r>
        <w:rPr>
          <w:rFonts w:hint="eastAsia" w:ascii="KaiTi_GB2312" w:eastAsia="KaiTi_GB2312"/>
          <w:spacing w:val="-14"/>
          <w:sz w:val="28"/>
          <w:u w:val="single" w:color="FF0000"/>
          <w:lang w:val="en-US" w:eastAsia="zh-CN"/>
        </w:rPr>
        <w:t>18</w:t>
      </w:r>
      <w:r>
        <w:rPr>
          <w:rFonts w:hint="eastAsia" w:ascii="KaiTi_GB2312" w:eastAsia="KaiTi_GB2312"/>
          <w:spacing w:val="-14"/>
          <w:sz w:val="28"/>
          <w:u w:val="single" w:color="FF0000"/>
        </w:rPr>
        <w:t xml:space="preserve">日 </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hint="eastAsia" w:ascii="Times New Roman" w:hAnsi="Times New Roman" w:eastAsia="KaiTi_GB2312"/>
          <w:b/>
          <w:bCs/>
          <w:sz w:val="32"/>
          <w:szCs w:val="32"/>
        </w:rPr>
      </w:pPr>
      <w:r>
        <w:rPr>
          <w:rFonts w:hint="eastAsia" w:ascii="Times New Roman" w:hAnsi="Times New Roman" w:eastAsia="KaiTi_GB2312"/>
          <w:b/>
          <w:bCs/>
          <w:sz w:val="32"/>
          <w:szCs w:val="32"/>
        </w:rPr>
        <w:t>金融工作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华文中宋" w:hAnsi="华文中宋" w:eastAsia="华文中宋" w:cs="宋体"/>
          <w:bCs/>
          <w:sz w:val="36"/>
          <w:szCs w:val="36"/>
        </w:rPr>
      </w:pPr>
      <w:r>
        <w:rPr>
          <w:rFonts w:ascii="华文中宋" w:hAnsi="华文中宋" w:eastAsia="华文中宋" w:cs="宋体"/>
          <w:bCs/>
          <w:sz w:val="36"/>
          <w:szCs w:val="36"/>
          <w:lang w:val="en-US" w:eastAsia="zh-CN"/>
        </w:rPr>
        <w:t>浦发银行聚焦临港新片区打造一体化自贸联动服务样本</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lang w:val="en-US" w:eastAsia="zh-CN"/>
        </w:rPr>
        <w:t>浦发银行上海自贸区临港新片区分行自成立以来，以“资金支持倍增、服务规模倍增、引领新片区金融制度创新、引领新片区金融开放”为目标要求，为新片区基础设施建设及重点产业发展提供了全面金融服务支持。</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发挥主场优势，走金融改革创新路。</w:t>
      </w:r>
      <w:r>
        <w:rPr>
          <w:rFonts w:ascii="Times New Roman" w:hAnsi="Times New Roman" w:eastAsia="仿宋_GB2312" w:cs="仿宋_GB2312"/>
          <w:sz w:val="32"/>
          <w:szCs w:val="32"/>
          <w:shd w:val="clear" w:color="auto" w:fill="FFFFFF"/>
          <w:lang w:val="en-US" w:eastAsia="zh-CN"/>
        </w:rPr>
        <w:t>浦发银行持续加大对新片区重点项目的资金支持力度，新片区内贷款余额较成立时增长近百亿元。已落地“取消人民币资本金账户”“跨境贸易融资资产转让”等16项自贸金融创新业务，与10余家企业开展离岸经贸业务合作。围绕跨境电商和离岸贸易，不断优化系统，提供资金自由便捷的跨境收付和汇兑，将</w:t>
      </w:r>
      <w:r>
        <w:rPr>
          <w:rFonts w:hint="eastAsia" w:ascii="Times New Roman" w:hAnsi="Times New Roman" w:eastAsia="仿宋_GB2312" w:cs="仿宋_GB2312"/>
          <w:sz w:val="32"/>
          <w:szCs w:val="32"/>
          <w:shd w:val="clear" w:color="auto" w:fill="FFFFFF"/>
          <w:lang w:val="en-US" w:eastAsia="zh-CN"/>
        </w:rPr>
        <w:t>应用程序接口（</w:t>
      </w:r>
      <w:r>
        <w:rPr>
          <w:rFonts w:ascii="Times New Roman" w:hAnsi="Times New Roman" w:eastAsia="仿宋_GB2312" w:cs="仿宋_GB2312"/>
          <w:sz w:val="32"/>
          <w:szCs w:val="32"/>
          <w:shd w:val="clear" w:color="auto" w:fill="FFFFFF"/>
          <w:lang w:val="en-US" w:eastAsia="zh-CN"/>
        </w:rPr>
        <w:t>API</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等数字化创新实践运用于客户服务。落地全市场首单本外币一体化的全功能型跨境双向人民币资金池，推动</w:t>
      </w:r>
      <w:r>
        <w:rPr>
          <w:rFonts w:hint="eastAsia" w:ascii="Times New Roman" w:hAnsi="Times New Roman" w:eastAsia="仿宋_GB2312" w:cs="仿宋_GB2312"/>
          <w:sz w:val="32"/>
          <w:szCs w:val="32"/>
          <w:shd w:val="clear" w:color="auto" w:fill="FFFFFF"/>
          <w:lang w:val="en-US" w:eastAsia="zh-CN"/>
        </w:rPr>
        <w:t>自由贸易</w:t>
      </w:r>
      <w:r>
        <w:rPr>
          <w:rFonts w:ascii="Times New Roman" w:hAnsi="Times New Roman" w:eastAsia="仿宋_GB2312" w:cs="仿宋_GB2312"/>
          <w:sz w:val="32"/>
          <w:szCs w:val="32"/>
          <w:shd w:val="clear" w:color="auto" w:fill="FFFFFF"/>
          <w:lang w:val="en-US" w:eastAsia="zh-CN"/>
        </w:rPr>
        <w:t>账户</w:t>
      </w:r>
      <w:r>
        <w:rPr>
          <w:rFonts w:hint="eastAsia" w:ascii="Times New Roman" w:hAnsi="Times New Roman" w:eastAsia="仿宋_GB2312" w:cs="仿宋_GB2312"/>
          <w:sz w:val="32"/>
          <w:szCs w:val="32"/>
          <w:shd w:val="clear" w:color="auto" w:fill="FFFFFF"/>
          <w:lang w:val="en-US" w:eastAsia="zh-CN"/>
        </w:rPr>
        <w:t>（FT账户）</w:t>
      </w:r>
      <w:r>
        <w:rPr>
          <w:rFonts w:ascii="Times New Roman" w:hAnsi="Times New Roman" w:eastAsia="仿宋_GB2312" w:cs="仿宋_GB2312"/>
          <w:sz w:val="32"/>
          <w:szCs w:val="32"/>
          <w:shd w:val="clear" w:color="auto" w:fill="FFFFFF"/>
          <w:lang w:val="en-US" w:eastAsia="zh-CN"/>
        </w:rPr>
        <w:t>在全球财资管理中心的应用。整合集团内资源，为企业提供综合化服务，例如与浦银国际开展跨境资管和并购联动，形成“股权＋债权”的跨境并购服务模式；与浦发硅谷银行加强服务科创企业的联动；与浦银租赁开展融资租赁联动业务等。</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lang w:val="en-US" w:eastAsia="zh-CN"/>
        </w:rPr>
      </w:pPr>
      <w:r>
        <w:rPr>
          <w:rFonts w:hint="default" w:ascii="楷体_GB2312" w:hAnsi="楷体_GB2312" w:eastAsia="楷体_GB2312" w:cs="楷体_GB2312"/>
          <w:b/>
          <w:bCs/>
          <w:sz w:val="32"/>
          <w:szCs w:val="32"/>
          <w:shd w:val="clear" w:color="auto" w:fill="FFFFFF"/>
          <w:lang w:val="en-US" w:eastAsia="zh-CN"/>
        </w:rPr>
        <w:t>服务长三角一体化</w:t>
      </w:r>
      <w:r>
        <w:rPr>
          <w:rFonts w:hint="eastAsia" w:ascii="楷体_GB2312" w:hAnsi="楷体_GB2312" w:eastAsia="楷体_GB2312" w:cs="楷体_GB2312"/>
          <w:b/>
          <w:bCs/>
          <w:sz w:val="32"/>
          <w:szCs w:val="32"/>
          <w:shd w:val="clear" w:color="auto" w:fill="FFFFFF"/>
          <w:lang w:val="en-US" w:eastAsia="zh-CN"/>
        </w:rPr>
        <w:t>，</w:t>
      </w:r>
      <w:r>
        <w:rPr>
          <w:rFonts w:hint="default" w:ascii="楷体_GB2312" w:hAnsi="楷体_GB2312" w:eastAsia="楷体_GB2312" w:cs="楷体_GB2312"/>
          <w:b/>
          <w:bCs/>
          <w:sz w:val="32"/>
          <w:szCs w:val="32"/>
          <w:shd w:val="clear" w:color="auto" w:fill="FFFFFF"/>
          <w:lang w:val="en-US" w:eastAsia="zh-CN"/>
        </w:rPr>
        <w:t>打造自贸联动样本</w:t>
      </w:r>
      <w:r>
        <w:rPr>
          <w:rFonts w:hint="eastAsia" w:ascii="楷体_GB2312" w:hAnsi="楷体_GB2312" w:eastAsia="楷体_GB2312" w:cs="楷体_GB2312"/>
          <w:b/>
          <w:bCs/>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浦发银行的自由贸易账户、跨境双向人民币资金池等自贸区专属政策，为企业跨境发展提供了</w:t>
      </w:r>
      <w:r>
        <w:rPr>
          <w:rFonts w:hint="eastAsia" w:ascii="Times New Roman" w:hAnsi="Times New Roman" w:eastAsia="仿宋_GB2312" w:cs="仿宋_GB2312"/>
          <w:sz w:val="32"/>
          <w:szCs w:val="32"/>
          <w:shd w:val="clear" w:color="auto" w:fill="FFFFFF"/>
          <w:lang w:val="en-US" w:eastAsia="zh-CN"/>
        </w:rPr>
        <w:t>有力支持</w:t>
      </w:r>
      <w:r>
        <w:rPr>
          <w:rFonts w:ascii="Times New Roman" w:hAnsi="Times New Roman" w:eastAsia="仿宋_GB2312" w:cs="仿宋_GB2312"/>
          <w:sz w:val="32"/>
          <w:szCs w:val="32"/>
          <w:shd w:val="clear" w:color="auto" w:fill="FFFFFF"/>
          <w:lang w:val="en-US" w:eastAsia="zh-CN"/>
        </w:rPr>
        <w:t>。浦发银行将长三角一体化与自贸金融业务相结合，充分利用上海自贸区以及临港新片区的先行先试优势，</w:t>
      </w:r>
      <w:r>
        <w:rPr>
          <w:rFonts w:hint="eastAsia" w:ascii="Times New Roman" w:hAnsi="Times New Roman" w:eastAsia="仿宋_GB2312" w:cs="仿宋_GB2312"/>
          <w:sz w:val="32"/>
          <w:szCs w:val="32"/>
          <w:shd w:val="clear" w:color="auto" w:fill="FFFFFF"/>
          <w:lang w:val="en-US" w:eastAsia="zh-CN"/>
        </w:rPr>
        <w:t>帮助</w:t>
      </w:r>
      <w:r>
        <w:rPr>
          <w:rFonts w:ascii="Times New Roman" w:hAnsi="Times New Roman" w:eastAsia="仿宋_GB2312" w:cs="仿宋_GB2312"/>
          <w:sz w:val="32"/>
          <w:szCs w:val="32"/>
          <w:shd w:val="clear" w:color="auto" w:fill="FFFFFF"/>
          <w:lang w:val="en-US" w:eastAsia="zh-CN"/>
        </w:rPr>
        <w:t>更多企业享受自贸金融领域的政策红利。</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下一步，</w:t>
      </w:r>
      <w:r>
        <w:rPr>
          <w:rFonts w:ascii="Times New Roman" w:hAnsi="Times New Roman" w:eastAsia="仿宋_GB2312" w:cs="仿宋_GB2312"/>
          <w:sz w:val="32"/>
          <w:szCs w:val="32"/>
          <w:shd w:val="clear" w:color="auto" w:fill="FFFFFF"/>
          <w:lang w:val="en-US" w:eastAsia="zh-CN"/>
        </w:rPr>
        <w:t>浦发银行</w:t>
      </w:r>
      <w:r>
        <w:rPr>
          <w:rFonts w:hint="eastAsia" w:ascii="Times New Roman" w:hAnsi="Times New Roman" w:eastAsia="仿宋_GB2312" w:cs="仿宋_GB2312"/>
          <w:sz w:val="32"/>
          <w:szCs w:val="32"/>
          <w:shd w:val="clear" w:color="auto" w:fill="FFFFFF"/>
          <w:lang w:val="en-US" w:eastAsia="zh-CN"/>
        </w:rPr>
        <w:t>将持续</w:t>
      </w:r>
      <w:r>
        <w:rPr>
          <w:rFonts w:ascii="Times New Roman" w:hAnsi="Times New Roman" w:eastAsia="仿宋_GB2312" w:cs="仿宋_GB2312"/>
          <w:sz w:val="32"/>
          <w:szCs w:val="32"/>
          <w:shd w:val="clear" w:color="auto" w:fill="FFFFFF"/>
          <w:lang w:val="en-US" w:eastAsia="zh-CN"/>
        </w:rPr>
        <w:t>紧密对接上海自贸区临港新片区建设，结合自贸、离岸与海外分行“三位一体”平台，为客户提供与国际接轨的跨境金融服务，推动临港新片区成为新时代上海新一轮改革开放的新高地。</w:t>
      </w:r>
      <w:r>
        <w:rPr>
          <w:rFonts w:hint="eastAsia" w:ascii="Times New Roman" w:hAnsi="Times New Roman" w:eastAsia="仿宋_GB2312" w:cs="仿宋_GB2312"/>
          <w:sz w:val="32"/>
          <w:szCs w:val="32"/>
          <w:shd w:val="clear" w:color="auto" w:fill="FFFFFF"/>
          <w:lang w:val="en-US" w:eastAsia="zh-CN"/>
        </w:rPr>
        <w:t>（浦发银行）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Times New Roman" w:hAnsi="Times New Roman" w:eastAsia="华文中宋" w:cs="宋体"/>
          <w:bCs/>
          <w:sz w:val="36"/>
          <w:szCs w:val="36"/>
          <w:lang w:val="en-US" w:eastAsia="zh-CN"/>
        </w:rPr>
      </w:pPr>
      <w:r>
        <w:rPr>
          <w:rFonts w:ascii="Times New Roman" w:hAnsi="Times New Roman" w:eastAsia="华文中宋" w:cs="宋体"/>
          <w:bCs/>
          <w:sz w:val="36"/>
          <w:szCs w:val="36"/>
          <w:lang w:val="en-US" w:eastAsia="zh-CN"/>
        </w:rPr>
        <w:t>国泰君安助力湖南财信金控结构性改革和战略转型</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w:t>
      </w:r>
      <w:r>
        <w:rPr>
          <w:rFonts w:hint="default" w:ascii="Times New Roman" w:hAnsi="Times New Roman" w:eastAsia="仿宋_GB2312" w:cs="仿宋_GB2312"/>
          <w:sz w:val="32"/>
          <w:szCs w:val="32"/>
          <w:shd w:val="clear" w:color="auto" w:fill="FFFFFF"/>
          <w:lang w:val="en-US" w:eastAsia="zh-CN"/>
        </w:rPr>
        <w:t>，国泰君安与湖南财信金融控股集团有限公司（简称“湖南财信金控”）举行战略合作签约仪式。</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基于本次战略合作，国泰君安将充分发挥综合、协同的平台服务优势，为湖南财信金控及</w:t>
      </w:r>
      <w:r>
        <w:rPr>
          <w:rFonts w:hint="eastAsia" w:ascii="Times New Roman" w:hAnsi="Times New Roman" w:eastAsia="仿宋_GB2312" w:cs="仿宋_GB2312"/>
          <w:sz w:val="32"/>
          <w:szCs w:val="32"/>
          <w:shd w:val="clear" w:color="auto" w:fill="FFFFFF"/>
          <w:lang w:val="en-US" w:eastAsia="zh-CN"/>
        </w:rPr>
        <w:t>下属</w:t>
      </w:r>
      <w:r>
        <w:rPr>
          <w:rFonts w:hint="default" w:ascii="Times New Roman" w:hAnsi="Times New Roman" w:eastAsia="仿宋_GB2312" w:cs="仿宋_GB2312"/>
          <w:sz w:val="32"/>
          <w:szCs w:val="32"/>
          <w:shd w:val="clear" w:color="auto" w:fill="FFFFFF"/>
          <w:lang w:val="en-US" w:eastAsia="zh-CN"/>
        </w:rPr>
        <w:t>企业提供投资银行、产业基金、资产管理、绿色金融、战略咨询等综合金融服务，支持湖南财信金控结构性改革和战略转型，打造“具有优势专业、优质治理、优秀人才的现代综合金融服务集团”。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未来，双方将进一步发挥各自特色，探索优化金控集团运营模式，全面深化产融结合，强化东中部资源优势互补，共同培育高新技术产业集群，助力区域经济转型升级，携手为湖南实施“三高四新”战略、推动中部地区崛起和长江经济带发展作出更大贡献。</w:t>
      </w:r>
      <w:r>
        <w:rPr>
          <w:rFonts w:hint="eastAsia" w:ascii="Times New Roman" w:hAnsi="Times New Roman" w:eastAsia="仿宋_GB2312" w:cs="仿宋_GB2312"/>
          <w:sz w:val="32"/>
          <w:szCs w:val="32"/>
          <w:shd w:val="clear" w:color="auto" w:fill="FFFFFF"/>
          <w:lang w:val="en-US" w:eastAsia="zh-CN"/>
        </w:rPr>
        <w:t>（国泰君安）</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ascii="华文中宋" w:hAnsi="华文中宋" w:eastAsia="华文中宋" w:cs="宋体"/>
          <w:bCs/>
          <w:sz w:val="36"/>
          <w:szCs w:val="36"/>
          <w:lang w:val="en-US" w:eastAsia="zh-CN"/>
        </w:rPr>
      </w:pPr>
      <w:r>
        <w:rPr>
          <w:rFonts w:ascii="华文中宋" w:hAnsi="华文中宋" w:eastAsia="华文中宋" w:cs="宋体"/>
          <w:bCs/>
          <w:sz w:val="36"/>
          <w:szCs w:val="36"/>
          <w:lang w:val="en-US" w:eastAsia="zh-CN"/>
        </w:rPr>
        <w:t>上海银行与</w:t>
      </w:r>
      <w:r>
        <w:rPr>
          <w:rFonts w:hint="eastAsia" w:ascii="华文中宋" w:hAnsi="华文中宋" w:eastAsia="华文中宋" w:cs="宋体"/>
          <w:bCs/>
          <w:sz w:val="36"/>
          <w:szCs w:val="36"/>
          <w:lang w:val="en-US" w:eastAsia="zh-CN"/>
        </w:rPr>
        <w:t>上海</w:t>
      </w:r>
      <w:r>
        <w:rPr>
          <w:rFonts w:ascii="华文中宋" w:hAnsi="华文中宋" w:eastAsia="华文中宋" w:cs="宋体"/>
          <w:bCs/>
          <w:sz w:val="36"/>
          <w:szCs w:val="36"/>
          <w:lang w:val="en-US" w:eastAsia="zh-CN"/>
        </w:rPr>
        <w:t>市工商联</w:t>
      </w:r>
      <w:r>
        <w:rPr>
          <w:rFonts w:hint="eastAsia" w:ascii="华文中宋" w:hAnsi="华文中宋" w:eastAsia="华文中宋" w:cs="宋体"/>
          <w:bCs/>
          <w:sz w:val="36"/>
          <w:szCs w:val="36"/>
          <w:lang w:val="en-US" w:eastAsia="zh-CN"/>
        </w:rPr>
        <w:t>以</w:t>
      </w:r>
      <w:r>
        <w:rPr>
          <w:rFonts w:ascii="华文中宋" w:hAnsi="华文中宋" w:eastAsia="华文中宋" w:cs="宋体"/>
          <w:bCs/>
          <w:sz w:val="36"/>
          <w:szCs w:val="36"/>
          <w:lang w:val="en-US" w:eastAsia="zh-CN"/>
        </w:rPr>
        <w:t>千亿融资</w:t>
      </w:r>
    </w:p>
    <w:p>
      <w:pPr>
        <w:keepNext w:val="0"/>
        <w:keepLines w:val="0"/>
        <w:pageBreakBefore w:val="0"/>
        <w:widowControl w:val="0"/>
        <w:kinsoku/>
        <w:wordWrap/>
        <w:overflowPunct/>
        <w:topLinePunct w:val="0"/>
        <w:autoSpaceDE/>
        <w:autoSpaceDN/>
        <w:bidi w:val="0"/>
        <w:adjustRightInd/>
        <w:snapToGrid/>
        <w:spacing w:after="163" w:afterLines="50"/>
        <w:jc w:val="center"/>
        <w:textAlignment w:val="auto"/>
        <w:rPr>
          <w:rFonts w:ascii="华文中宋" w:hAnsi="华文中宋" w:eastAsia="华文中宋" w:cs="宋体"/>
          <w:bCs/>
          <w:sz w:val="36"/>
          <w:szCs w:val="36"/>
          <w:lang w:val="en-US" w:eastAsia="zh-CN"/>
        </w:rPr>
      </w:pPr>
      <w:r>
        <w:rPr>
          <w:rFonts w:ascii="华文中宋" w:hAnsi="华文中宋" w:eastAsia="华文中宋" w:cs="宋体"/>
          <w:bCs/>
          <w:sz w:val="36"/>
          <w:szCs w:val="36"/>
          <w:lang w:val="en-US" w:eastAsia="zh-CN"/>
        </w:rPr>
        <w:t>助推民营经济高质量发展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w:t>
      </w:r>
      <w:r>
        <w:rPr>
          <w:rFonts w:hint="default" w:ascii="Times New Roman" w:hAnsi="Times New Roman" w:eastAsia="仿宋_GB2312" w:cs="仿宋_GB2312"/>
          <w:sz w:val="32"/>
          <w:szCs w:val="32"/>
          <w:shd w:val="clear" w:color="auto" w:fill="FFFFFF"/>
          <w:lang w:val="en-US" w:eastAsia="zh-CN"/>
        </w:rPr>
        <w:t>，上海银行与市工商联共同签署《全面战略合作协议》。</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上海银行以线上供应链金融作为破解民营和小微企业融资难、融资贵的突破口，目前线上供应链信贷支持累计服务客户近7000户。双方将以此次全面战略合作为契机，围绕“金融服务实体经济、助力民营企业发展”主题，深入推进“政会银企”四方合作机制，展开一系列务实举措。</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围绕普惠、科创、绿色、民生四大特色领域，上海市工商联将积极畅通企业需求对接渠道并加强信息共享，并积极推荐符合条件的企业。上海银行将创新金融产品、提供普惠金融简化审批流程，并给予利率优惠和额度保障；加强续贷产品开发和推广，对优质民营企业推广无还本续贷模式。为科技型企业设立专项信贷额度，运用多维度产品提供覆盖全生命周期的金融支撑。加强绿色产业信息共享，并提供精准服务。积极参与本市民生服务“数字化转型”建设工作，探索智慧医疗、医养结合等领域服务创新。</w:t>
      </w:r>
      <w:r>
        <w:rPr>
          <w:rFonts w:hint="eastAsia" w:ascii="Times New Roman" w:hAnsi="Times New Roman" w:eastAsia="仿宋_GB2312" w:cs="仿宋_GB2312"/>
          <w:sz w:val="32"/>
          <w:szCs w:val="32"/>
          <w:shd w:val="clear" w:color="auto" w:fill="FFFFFF"/>
          <w:lang w:val="en-US" w:eastAsia="zh-CN"/>
        </w:rPr>
        <w:t>（上海银行）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华文中宋" w:hAnsi="华文中宋" w:eastAsia="华文中宋" w:cs="宋体"/>
          <w:bCs/>
          <w:sz w:val="36"/>
          <w:szCs w:val="36"/>
          <w:lang w:val="en-US" w:eastAsia="zh-CN"/>
        </w:rPr>
      </w:pPr>
      <w:r>
        <w:rPr>
          <w:rFonts w:ascii="华文中宋" w:hAnsi="华文中宋" w:eastAsia="华文中宋" w:cs="宋体"/>
          <w:bCs/>
          <w:sz w:val="36"/>
          <w:szCs w:val="36"/>
          <w:lang w:val="en-US" w:eastAsia="zh-CN"/>
        </w:rPr>
        <w:t>市国资委系统实现高校应届毕业生就业“双增长”</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今年以来，市国资委统筹做好疫情防控和企业改革发展，继续坚持以“目标不变、数量不减、挖潜多招、签约落地”为原则，多措并举，集聚资源，切实做好2021届高校毕业生招录工作，努力确保今年就业形势稳定。</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一是聚焦人才引领。鼓励国有企业结合改革发展需要，优化人才招录选拔机制，培育储备一支志存高远、奋发有为，具有国资情怀的优秀应届毕业生高潜人才队伍。二是坚持发展协同，推动企业加强校企合作，进一步开放实习见习资源。鼓励企业用足用好各类政策、能招多招。三是加强机制建设。不断完善公开招聘等市场化用工制度，动态掌握企业大学生招聘工作开展情况，引导企业加强人才发展规划，提高人岗相适度。</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截至8月底，本市地方国有企业在全国范围内招录1.99万名应届高校毕业生，在本市范围内招录1.29万人。其中，市国资委系统企业在全国范围内实际招录1.91万人，在本市范围内实际招录1.21万人，实现全国、本市“双增长”的目标。</w:t>
      </w:r>
      <w:r>
        <w:rPr>
          <w:rFonts w:hint="eastAsia" w:ascii="Times New Roman" w:hAnsi="Times New Roman" w:eastAsia="仿宋_GB2312" w:cs="仿宋_GB2312"/>
          <w:sz w:val="32"/>
          <w:szCs w:val="32"/>
          <w:shd w:val="clear" w:color="auto" w:fill="FFFFFF"/>
          <w:lang w:val="en-US" w:eastAsia="zh-CN"/>
        </w:rPr>
        <w:t>（上海市国资委）</w:t>
      </w:r>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Times New Roman" w:hAnsi="Times New Roman" w:eastAsia="华文中宋" w:cs="宋体"/>
          <w:bCs/>
          <w:sz w:val="36"/>
          <w:szCs w:val="36"/>
          <w:lang w:val="en-US" w:eastAsia="zh-CN"/>
        </w:rPr>
      </w:pPr>
      <w:r>
        <w:rPr>
          <w:rFonts w:ascii="Times New Roman" w:hAnsi="Times New Roman" w:eastAsia="华文中宋" w:cs="宋体"/>
          <w:bCs/>
          <w:sz w:val="36"/>
          <w:szCs w:val="36"/>
          <w:lang w:val="en-US" w:eastAsia="zh-CN"/>
        </w:rPr>
        <w:t>上海港8月集装箱吞吐量创新高</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8月，</w:t>
      </w:r>
      <w:r>
        <w:rPr>
          <w:rFonts w:ascii="Times New Roman" w:hAnsi="Times New Roman" w:eastAsia="仿宋_GB2312" w:cs="仿宋_GB2312"/>
          <w:sz w:val="32"/>
          <w:szCs w:val="32"/>
          <w:shd w:val="clear" w:color="auto" w:fill="FFFFFF"/>
          <w:lang w:val="en-US" w:eastAsia="zh-CN"/>
        </w:rPr>
        <w:t>上港集团</w:t>
      </w:r>
      <w:r>
        <w:rPr>
          <w:rFonts w:hint="eastAsia" w:ascii="Times New Roman" w:hAnsi="Times New Roman" w:eastAsia="仿宋_GB2312" w:cs="仿宋_GB2312"/>
          <w:sz w:val="32"/>
          <w:szCs w:val="32"/>
          <w:shd w:val="clear" w:color="auto" w:fill="FFFFFF"/>
          <w:lang w:val="en-US" w:eastAsia="zh-CN"/>
        </w:rPr>
        <w:t>努力克服恶劣天气和新冠疫情等因素影响，充分</w:t>
      </w:r>
      <w:r>
        <w:rPr>
          <w:rFonts w:ascii="Times New Roman" w:hAnsi="Times New Roman" w:eastAsia="仿宋_GB2312" w:cs="仿宋_GB2312"/>
          <w:sz w:val="32"/>
          <w:szCs w:val="32"/>
          <w:shd w:val="clear" w:color="auto" w:fill="FFFFFF"/>
          <w:lang w:val="en-US" w:eastAsia="zh-CN"/>
        </w:rPr>
        <w:t>释放管理效能，加强内部挖潜，提高生产效率。上海港8月份集装箱吞吐量创下单月生产纪录，达到431.8万</w:t>
      </w:r>
      <w:r>
        <w:rPr>
          <w:rFonts w:hint="eastAsia" w:ascii="Times New Roman" w:hAnsi="Times New Roman" w:eastAsia="仿宋_GB2312" w:cs="仿宋_GB2312"/>
          <w:sz w:val="32"/>
          <w:szCs w:val="32"/>
          <w:shd w:val="clear" w:color="auto" w:fill="FFFFFF"/>
          <w:lang w:val="en-US" w:eastAsia="zh-CN"/>
        </w:rPr>
        <w:t>标准箱</w:t>
      </w:r>
      <w:r>
        <w:rPr>
          <w:rFonts w:ascii="Times New Roman" w:hAnsi="Times New Roman" w:eastAsia="仿宋_GB2312" w:cs="仿宋_GB2312"/>
          <w:sz w:val="32"/>
          <w:szCs w:val="32"/>
          <w:shd w:val="clear" w:color="auto" w:fill="FFFFFF"/>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b/>
          <w:bCs/>
          <w:sz w:val="32"/>
          <w:szCs w:val="32"/>
          <w:shd w:val="clear" w:color="auto" w:fill="FFFFFF"/>
          <w:lang w:val="en-US" w:eastAsia="zh-CN"/>
        </w:rPr>
        <w:t>保畅港口，防疫与生产两手抓不松懈</w:t>
      </w:r>
      <w:r>
        <w:rPr>
          <w:rFonts w:hint="eastAsia" w:ascii="Times New Roman" w:hAnsi="Times New Roman" w:eastAsia="仿宋_GB2312" w:cs="仿宋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上港集团抓防疫建新规，筑牢水上疫情防线</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上港集团及时发布突发新冠肺炎疫情处置预案，实行登轮作业人员等港口高风险岗位闭环管理或封闭管理。增配扩容，提升装卸能力与效率</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自去年开始，集团已启动新一轮码头桥吊、港区堆场的增配与扩容计划，并积极推进管理增效，全面提升了码头的装卸能力与效率。管理增效，提高码头资源利用率</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推进母港挖潜，在外高桥沪东、明东两码头间，洋山盛东、冠东两码头间形成相邻码头“共享堆场”作业模式，进一步提升码头堆场作业资源的利用水平</w:t>
      </w:r>
      <w:r>
        <w:rPr>
          <w:rFonts w:hint="eastAsia" w:ascii="Times New Roman" w:hAnsi="Times New Roman" w:eastAsia="仿宋_GB2312" w:cs="仿宋_GB2312"/>
          <w:sz w:val="32"/>
          <w:szCs w:val="32"/>
          <w:shd w:val="clear" w:color="auto" w:fill="FFFFFF"/>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b/>
          <w:bCs/>
          <w:sz w:val="32"/>
          <w:szCs w:val="32"/>
          <w:shd w:val="clear" w:color="auto" w:fill="FFFFFF"/>
          <w:lang w:val="en-US" w:eastAsia="zh-CN"/>
        </w:rPr>
        <w:t>服务航运，保障运力投放和船舶班期稳定</w:t>
      </w:r>
      <w:r>
        <w:rPr>
          <w:rFonts w:hint="eastAsia" w:ascii="Times New Roman" w:hAnsi="Times New Roman" w:eastAsia="仿宋_GB2312" w:cs="仿宋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上港集团统筹班期窗口资源，有效引导新开航线出口舱位放在上海港。上海港今年进一步统筹全港岸线及班期窗口资源，加强与船公司的战略合作，通过量化港航双方的服务质量指标、明确具体的服务承诺，合力打造高装卸效率、高班期质量的航线服务。优化船舶计划模式，提升船舶班期保障、加速船舶开靠周转。上半年集团洋山港区船舶计划全面从48小时向72小时升级，提升了港口船舶作业安排的预判性、岸线及机械资源的统筹利用，有效提高了船公司准班直靠率水平。推广太仓服务中心，提高长江中上游、内河集疏运的转运时效。今年3月，上海港成立了太仓服务中心，并推进“太申快行”专线转运驳船的运力提升和24小时转运承诺，有效提高了客户转运的时效性和稳定性。</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b/>
          <w:bCs/>
          <w:sz w:val="32"/>
          <w:szCs w:val="32"/>
          <w:shd w:val="clear" w:color="auto" w:fill="FFFFFF"/>
          <w:lang w:val="en-US" w:eastAsia="zh-CN"/>
        </w:rPr>
        <w:t>盘活集装箱资源，助力枢纽港建设</w:t>
      </w:r>
      <w:r>
        <w:rPr>
          <w:rFonts w:hint="eastAsia" w:ascii="Times New Roman" w:hAnsi="Times New Roman" w:eastAsia="仿宋_GB2312" w:cs="仿宋_GB2312"/>
          <w:b/>
          <w:bCs/>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上港集团强化空箱资源配置能力，成立上海港东北亚空箱调运中心。集团与马士基、达飞、地中海、长荣四家船公司形成深度战略合资合作，发挥临港新片区政策制度创新优势，打造上海港东北亚空箱调运中心。引导健全空箱运作机制，为上海本地出口、内河、长江及沿海业务提供坚强的空箱资源保障。加速空箱通关时效，全面推行进出境空箱无纸化申报</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上海海关设置空箱舱单变更专窗，上海港全面推行进出境空箱无纸化申报，企业可通过信息化系统发送快速验放准单，足不出户即可完成进出境空箱电子申报和快速验放。推广内陆集装箱枢纽</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ICT</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服务模式，加速长三角区域重、空箱周转效率。针对长三角地区出口企业，集团整合“水-铁-公”物流通道资源，创新推进ICT服务模式，提升了各物流方式的资源利用效率，持续加速长三角区域空箱、重箱周转。</w:t>
      </w:r>
      <w:r>
        <w:rPr>
          <w:rFonts w:hint="eastAsia" w:ascii="Times New Roman" w:hAnsi="Times New Roman" w:eastAsia="仿宋_GB2312" w:cs="仿宋_GB2312"/>
          <w:sz w:val="32"/>
          <w:szCs w:val="32"/>
          <w:shd w:val="clear" w:color="auto" w:fill="FFFFFF"/>
          <w:lang w:val="en-US" w:eastAsia="zh-CN"/>
        </w:rPr>
        <w:t>（上港集团）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第十届</w:t>
      </w:r>
      <w:r>
        <w:rPr>
          <w:rFonts w:ascii="Times New Roman" w:hAnsi="Times New Roman" w:eastAsia="华文中宋" w:cs="宋体"/>
          <w:bCs/>
          <w:sz w:val="36"/>
          <w:szCs w:val="36"/>
          <w:lang w:val="en-US" w:eastAsia="zh-CN"/>
        </w:rPr>
        <w:t>花博会</w:t>
      </w:r>
      <w:r>
        <w:rPr>
          <w:rFonts w:hint="eastAsia" w:ascii="Times New Roman" w:hAnsi="Times New Roman" w:eastAsia="华文中宋" w:cs="宋体"/>
          <w:bCs/>
          <w:sz w:val="36"/>
          <w:szCs w:val="36"/>
          <w:lang w:val="en-US" w:eastAsia="zh-CN"/>
        </w:rPr>
        <w:t>园区获评全国</w:t>
      </w:r>
      <w:r>
        <w:rPr>
          <w:rFonts w:ascii="Times New Roman" w:hAnsi="Times New Roman" w:eastAsia="华文中宋" w:cs="宋体"/>
          <w:bCs/>
          <w:sz w:val="36"/>
          <w:szCs w:val="36"/>
          <w:lang w:val="en-US" w:eastAsia="zh-CN"/>
        </w:rPr>
        <w:t>首个碳中和园区</w:t>
      </w:r>
    </w:p>
    <w:p>
      <w:pPr>
        <w:keepNext w:val="0"/>
        <w:keepLines w:val="0"/>
        <w:pageBreakBefore w:val="0"/>
        <w:widowControl w:val="0"/>
        <w:kinsoku/>
        <w:wordWrap/>
        <w:overflowPunct/>
        <w:topLinePunct w:val="0"/>
        <w:autoSpaceDE/>
        <w:autoSpaceDN/>
        <w:bidi w:val="0"/>
        <w:adjustRightInd/>
        <w:snapToGrid/>
        <w:spacing w:after="163" w:afterLines="50"/>
        <w:jc w:val="center"/>
        <w:textAlignment w:val="auto"/>
        <w:rPr>
          <w:rFonts w:ascii="Times New Roman" w:hAnsi="Times New Roman" w:eastAsia="华文中宋" w:cs="宋体"/>
          <w:bCs/>
          <w:sz w:val="36"/>
          <w:szCs w:val="36"/>
          <w:lang w:val="en-US" w:eastAsia="zh-CN"/>
        </w:rPr>
      </w:pPr>
      <w:r>
        <w:rPr>
          <w:rFonts w:ascii="Times New Roman" w:hAnsi="Times New Roman" w:eastAsia="华文中宋" w:cs="宋体"/>
          <w:bCs/>
          <w:sz w:val="36"/>
          <w:szCs w:val="36"/>
          <w:lang w:val="en-US" w:eastAsia="zh-CN"/>
        </w:rPr>
        <w:t>及双碳达标最佳示范案例</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近日，华建集团担纲设计和总控管理的上海崇明“第十届中国花卉博览会”园区获得“碳中和示范园区”证书，成为</w:t>
      </w:r>
      <w:r>
        <w:rPr>
          <w:rFonts w:hint="eastAsia" w:ascii="Times New Roman" w:hAnsi="Times New Roman" w:eastAsia="仿宋_GB2312" w:cs="仿宋_GB2312"/>
          <w:sz w:val="32"/>
          <w:szCs w:val="32"/>
          <w:shd w:val="clear" w:color="auto" w:fill="FFFFFF"/>
          <w:lang w:val="en-US" w:eastAsia="zh-CN"/>
        </w:rPr>
        <w:t>全国</w:t>
      </w:r>
      <w:r>
        <w:rPr>
          <w:rFonts w:hint="default" w:ascii="Times New Roman" w:hAnsi="Times New Roman" w:eastAsia="仿宋_GB2312" w:cs="仿宋_GB2312"/>
          <w:sz w:val="32"/>
          <w:szCs w:val="32"/>
          <w:shd w:val="clear" w:color="auto" w:fill="FFFFFF"/>
          <w:lang w:val="en-US" w:eastAsia="zh-CN"/>
        </w:rPr>
        <w:t>首个碳中和园区。华建集团依托低碳布局、低碳能源、低碳建筑、低碳交通、资源再生等的协调互动，实现了对建筑全生命期碳足迹数据的动态度量、延伸控制与溯源核查。</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通过自建碳中和林、购买国家自愿减排量，花博会园区全面抵消因新建主展区、花博会展期运行产生的建材碳、建造碳和运行碳，</w:t>
      </w:r>
      <w:r>
        <w:rPr>
          <w:rFonts w:hint="eastAsia" w:ascii="Times New Roman" w:hAnsi="Times New Roman" w:eastAsia="仿宋_GB2312" w:cs="仿宋_GB2312"/>
          <w:sz w:val="32"/>
          <w:szCs w:val="32"/>
          <w:shd w:val="clear" w:color="auto" w:fill="FFFFFF"/>
          <w:lang w:val="en-US" w:eastAsia="zh-CN"/>
        </w:rPr>
        <w:t>成为全国首个</w:t>
      </w:r>
      <w:r>
        <w:rPr>
          <w:rFonts w:hint="default" w:ascii="Times New Roman" w:hAnsi="Times New Roman" w:eastAsia="仿宋_GB2312" w:cs="仿宋_GB2312"/>
          <w:sz w:val="32"/>
          <w:szCs w:val="32"/>
          <w:shd w:val="clear" w:color="auto" w:fill="FFFFFF"/>
          <w:lang w:val="en-US" w:eastAsia="zh-CN"/>
        </w:rPr>
        <w:t>“展期碳中和+园区碳中和”的双碳达标最佳示范案例</w:t>
      </w:r>
      <w:r>
        <w:rPr>
          <w:rFonts w:hint="eastAsia" w:ascii="Times New Roman" w:hAnsi="Times New Roman" w:eastAsia="仿宋_GB2312" w:cs="仿宋_GB2312"/>
          <w:sz w:val="32"/>
          <w:szCs w:val="32"/>
          <w:shd w:val="clear" w:color="auto" w:fill="FFFFFF"/>
          <w:lang w:val="en-US" w:eastAsia="zh-CN"/>
        </w:rPr>
        <w:t>和</w:t>
      </w:r>
      <w:r>
        <w:rPr>
          <w:rFonts w:hint="default" w:ascii="Times New Roman" w:hAnsi="Times New Roman" w:eastAsia="仿宋_GB2312" w:cs="仿宋_GB2312"/>
          <w:sz w:val="32"/>
          <w:szCs w:val="32"/>
          <w:shd w:val="clear" w:color="auto" w:fill="FFFFFF"/>
          <w:lang w:val="en-US" w:eastAsia="zh-CN"/>
        </w:rPr>
        <w:t>首个碳中和园区。</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从2018年花博园筹划建设开始，“生态”“低碳”便成为园区设计团队的工作重点。设计团队借势通过“花博会苗木三维信息化管理系统”技术赋能，将7万多株乔木“应种尽种”，在20年的时间里抵消花博园区在建设过程中所产生的15.3万多吨的碳排放量。2019年，花博会主办方购买了1.3万吨</w:t>
      </w:r>
      <w:r>
        <w:rPr>
          <w:rFonts w:hint="eastAsia" w:ascii="Times New Roman" w:hAnsi="Times New Roman" w:eastAsia="仿宋_GB2312" w:cs="仿宋_GB2312"/>
          <w:sz w:val="32"/>
          <w:szCs w:val="32"/>
          <w:shd w:val="clear" w:color="auto" w:fill="FFFFFF"/>
          <w:lang w:val="en-US" w:eastAsia="zh-CN"/>
        </w:rPr>
        <w:t>国家核证自愿减排量（</w:t>
      </w:r>
      <w:r>
        <w:rPr>
          <w:rFonts w:hint="default" w:ascii="Times New Roman" w:hAnsi="Times New Roman" w:eastAsia="仿宋_GB2312" w:cs="仿宋_GB2312"/>
          <w:sz w:val="32"/>
          <w:szCs w:val="32"/>
          <w:shd w:val="clear" w:color="auto" w:fill="FFFFFF"/>
          <w:lang w:val="en-US" w:eastAsia="zh-CN"/>
        </w:rPr>
        <w:t>CCER</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的碳配额，一次性消纳了花博园区43天的碳排放量，包括所有的观众、志愿者、场馆运行中产生的碳排放量。此外，花博园还利用可再生能源降低温室气体排放。</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目前，花博会已抵消碳共计16.5万吨，是中国第一个真正实现涵盖筹备、建设、举行、收尾四个阶段的全生命期碳中和的大型活动园区，为推进崇明区碳中和示范区建设提供花博样本。与此同时，华建集团、光明食品集团、市绿色建筑协会、上海交通大学共同发起成立低碳创新研究中心，将打造城市低碳发展“超级智囊团”。</w:t>
      </w:r>
      <w:r>
        <w:rPr>
          <w:rFonts w:hint="eastAsia" w:ascii="Times New Roman" w:hAnsi="Times New Roman" w:eastAsia="仿宋_GB2312" w:cs="仿宋_GB2312"/>
          <w:sz w:val="32"/>
          <w:szCs w:val="32"/>
          <w:shd w:val="clear" w:color="auto" w:fill="FFFFFF"/>
          <w:lang w:val="en-US" w:eastAsia="zh-CN"/>
        </w:rPr>
        <w:t>（华建集团）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Times New Roman" w:hAnsi="Times New Roman" w:eastAsia="华文中宋" w:cs="宋体"/>
          <w:bCs/>
          <w:sz w:val="36"/>
          <w:szCs w:val="36"/>
          <w:lang w:val="en-US" w:eastAsia="zh-CN"/>
        </w:rPr>
      </w:pPr>
      <w:r>
        <w:rPr>
          <w:rFonts w:ascii="Times New Roman" w:hAnsi="Times New Roman" w:eastAsia="华文中宋" w:cs="宋体"/>
          <w:bCs/>
          <w:sz w:val="36"/>
          <w:szCs w:val="36"/>
          <w:lang w:val="en-US" w:eastAsia="zh-CN"/>
        </w:rPr>
        <w:t>“上海市桥隧5G网络提质和应用赋能工程”启动</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日期</w:t>
      </w:r>
      <w:r>
        <w:rPr>
          <w:rFonts w:ascii="Times New Roman" w:hAnsi="Times New Roman" w:eastAsia="仿宋_GB2312" w:cs="仿宋_GB2312"/>
          <w:sz w:val="32"/>
          <w:szCs w:val="32"/>
          <w:shd w:val="clear" w:color="auto" w:fill="FFFFFF"/>
          <w:lang w:val="en-US" w:eastAsia="zh-CN"/>
        </w:rPr>
        <w:t>，上海城投集团、隧道股份、上海电信、上海移动、上海联通、上海铁塔签署战略合作框架协议，共同启动“上海市桥隧5G网络提质和应用赋能工程”。</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上海城投集团作为隧道、大桥重要交通基础设施建设运营主力军，将积极发挥与兄弟单位在桥隧基础设施上的规模优势，协同各通信方勇担城市数字化转型先行者。隧道股份承担了上海95%以上市管交通基础设施运营管理任务，将协同上海城投集团，与国内四大通讯龙头企业携手，共同推进上海城市交通运维领域的5G系统建设，在今年年内为全市32个隧道</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地道</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及4个跨江大桥实现5G网络全覆盖，在数字时代下为交通设施插上“5G翅膀”。</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六方将围绕“5G+智慧城市应用创新示范基地”共同推进桥隧路网建设、运营、维护、安全和城市救援等方面的应用创新，合作开展基于各方业务发展范畴的信息化综合解决方案以及信息通信资源开发等，为城市精细化管理、为上海城市数字转型携手再做贡献。</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下一步，各方将</w:t>
      </w:r>
      <w:r>
        <w:rPr>
          <w:rFonts w:hint="default" w:ascii="Times New Roman" w:hAnsi="Times New Roman" w:eastAsia="仿宋_GB2312" w:cs="仿宋_GB2312"/>
          <w:sz w:val="32"/>
          <w:szCs w:val="32"/>
          <w:shd w:val="clear" w:color="auto" w:fill="FFFFFF"/>
          <w:lang w:val="en-US" w:eastAsia="zh-CN"/>
        </w:rPr>
        <w:t>继续助力城市数字化转型大战略下的新基建建设与智慧基础设施发展，通过协同数字资源</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创造数字价值</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助力数字转型，为城市基础设施建设、管理、运营全过程的智慧化产品和服务。</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上海城投集团、隧道股份</w:t>
      </w:r>
      <w:r>
        <w:rPr>
          <w:rFonts w:hint="eastAsia" w:ascii="Times New Roman" w:hAnsi="Times New Roman" w:eastAsia="仿宋_GB2312" w:cs="仿宋_GB2312"/>
          <w:sz w:val="32"/>
          <w:szCs w:val="32"/>
          <w:shd w:val="clear" w:color="auto" w:fill="FFFFFF"/>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临港集团与崇明区共商长兴产业园开发</w:t>
      </w:r>
    </w:p>
    <w:p>
      <w:pPr>
        <w:keepNext w:val="0"/>
        <w:keepLines w:val="0"/>
        <w:pageBreakBefore w:val="0"/>
        <w:widowControl w:val="0"/>
        <w:kinsoku/>
        <w:wordWrap/>
        <w:overflowPunct/>
        <w:topLinePunct w:val="0"/>
        <w:autoSpaceDE/>
        <w:autoSpaceDN/>
        <w:bidi w:val="0"/>
        <w:adjustRightInd/>
        <w:snapToGrid/>
        <w:spacing w:after="163" w:afterLines="50"/>
        <w:jc w:val="center"/>
        <w:textAlignment w:val="auto"/>
        <w:rPr>
          <w:rFonts w:ascii="Times New Roman" w:hAnsi="Times New Roman" w:eastAsia="华文中宋" w:cs="宋体"/>
          <w:bCs/>
          <w:sz w:val="36"/>
          <w:szCs w:val="36"/>
          <w:lang w:val="en-US" w:eastAsia="zh-CN"/>
        </w:rPr>
      </w:pPr>
      <w:r>
        <w:rPr>
          <w:rFonts w:ascii="Times New Roman" w:hAnsi="Times New Roman" w:eastAsia="华文中宋" w:cs="宋体"/>
          <w:bCs/>
          <w:sz w:val="36"/>
          <w:szCs w:val="36"/>
          <w:lang w:val="en-US" w:eastAsia="zh-CN"/>
        </w:rPr>
        <w:t>推动园区建设与长兴城市功能有机融合</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w:t>
      </w:r>
      <w:r>
        <w:rPr>
          <w:rFonts w:hint="default" w:ascii="Times New Roman" w:hAnsi="Times New Roman" w:eastAsia="仿宋_GB2312" w:cs="仿宋_GB2312"/>
          <w:sz w:val="32"/>
          <w:szCs w:val="32"/>
          <w:shd w:val="clear" w:color="auto" w:fill="FFFFFF"/>
          <w:lang w:val="en-US" w:eastAsia="zh-CN"/>
        </w:rPr>
        <w:t>，临港集团与崇明区政府举行工作会谈，双方就推进长兴产业园区开发，打造长兴发展新引擎、新名片、新地标，深入开展交流。会上，临港长兴公司与江南造船集团、中国电力、纯米科技举行了集中签约仪式。</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临港长兴科技园规划面积526亩，是临港集团与崇明区政府实现“区区合作、品牌联动”的重要承载空间。该项目整体建筑面积约43万平方米，分为三期建设，一期项目目前已完成主体结构封顶，即将于2021年底建成。临港长兴科技园重点聚焦海洋科技、工业互联网、信息安全等三大产业，全力推动长兴产业发展，打造区域转型发展的标杆和亮点。</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临港集团将充分发挥</w:t>
      </w:r>
      <w:r>
        <w:rPr>
          <w:rFonts w:hint="eastAsia" w:ascii="Times New Roman" w:hAnsi="Times New Roman" w:eastAsia="仿宋_GB2312" w:cs="仿宋_GB2312"/>
          <w:sz w:val="32"/>
          <w:szCs w:val="32"/>
          <w:shd w:val="clear" w:color="auto" w:fill="FFFFFF"/>
          <w:lang w:val="en-US" w:eastAsia="zh-CN"/>
        </w:rPr>
        <w:t>自身</w:t>
      </w:r>
      <w:r>
        <w:rPr>
          <w:rFonts w:hint="default" w:ascii="Times New Roman" w:hAnsi="Times New Roman" w:eastAsia="仿宋_GB2312" w:cs="仿宋_GB2312"/>
          <w:sz w:val="32"/>
          <w:szCs w:val="32"/>
          <w:shd w:val="clear" w:color="auto" w:fill="FFFFFF"/>
          <w:lang w:val="en-US" w:eastAsia="zh-CN"/>
        </w:rPr>
        <w:t>在建设创新型特色园区方面的经验，以“新引擎、新名片、新地标”为目标，推动园区建设与长兴城市功能有机融合。</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未来，</w:t>
      </w:r>
      <w:r>
        <w:rPr>
          <w:rFonts w:hint="default" w:ascii="Times New Roman" w:hAnsi="Times New Roman" w:eastAsia="仿宋_GB2312" w:cs="仿宋_GB2312"/>
          <w:sz w:val="32"/>
          <w:szCs w:val="32"/>
          <w:shd w:val="clear" w:color="auto" w:fill="FFFFFF"/>
          <w:lang w:val="en-US" w:eastAsia="zh-CN"/>
        </w:rPr>
        <w:t>双方将在更多领域寻求更深层次务实合作，加快临港长兴海洋科技园建设，打造长兴产业园区新地标，实现优势互补、合作共赢。</w:t>
      </w:r>
      <w:r>
        <w:rPr>
          <w:rFonts w:hint="eastAsia" w:ascii="Times New Roman" w:hAnsi="Times New Roman" w:eastAsia="仿宋_GB2312" w:cs="仿宋_GB2312"/>
          <w:sz w:val="32"/>
          <w:szCs w:val="32"/>
          <w:shd w:val="clear" w:color="auto" w:fill="FFFFFF"/>
          <w:lang w:val="en-US" w:eastAsia="zh-CN"/>
        </w:rPr>
        <w:t>（临港集团）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D35B8"/>
    <w:rsid w:val="000E10D8"/>
    <w:rsid w:val="00100232"/>
    <w:rsid w:val="0010203C"/>
    <w:rsid w:val="00104B51"/>
    <w:rsid w:val="001154F5"/>
    <w:rsid w:val="0012642C"/>
    <w:rsid w:val="00197224"/>
    <w:rsid w:val="001D7C0E"/>
    <w:rsid w:val="002023F8"/>
    <w:rsid w:val="002029F0"/>
    <w:rsid w:val="0023679F"/>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B0EA0"/>
    <w:rsid w:val="004B61F5"/>
    <w:rsid w:val="004C0323"/>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B17"/>
    <w:rsid w:val="006B6F77"/>
    <w:rsid w:val="006F6CF9"/>
    <w:rsid w:val="007271D2"/>
    <w:rsid w:val="007271F6"/>
    <w:rsid w:val="00730884"/>
    <w:rsid w:val="0074545C"/>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F7E15"/>
    <w:rsid w:val="00A37060"/>
    <w:rsid w:val="00A672A6"/>
    <w:rsid w:val="00A72CAA"/>
    <w:rsid w:val="00A76785"/>
    <w:rsid w:val="00A90F19"/>
    <w:rsid w:val="00AB7A6B"/>
    <w:rsid w:val="00AE309C"/>
    <w:rsid w:val="00AE56B3"/>
    <w:rsid w:val="00AE5DA6"/>
    <w:rsid w:val="00B14567"/>
    <w:rsid w:val="00B35D74"/>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10146F42"/>
    <w:rsid w:val="11412D2A"/>
    <w:rsid w:val="115A7F13"/>
    <w:rsid w:val="1216712E"/>
    <w:rsid w:val="131C5D48"/>
    <w:rsid w:val="133A18D0"/>
    <w:rsid w:val="14235BA4"/>
    <w:rsid w:val="14345A5E"/>
    <w:rsid w:val="14945FFA"/>
    <w:rsid w:val="14B64181"/>
    <w:rsid w:val="15264DDC"/>
    <w:rsid w:val="15B11526"/>
    <w:rsid w:val="16111090"/>
    <w:rsid w:val="17324CB1"/>
    <w:rsid w:val="174A3B2A"/>
    <w:rsid w:val="17E34753"/>
    <w:rsid w:val="18EB736D"/>
    <w:rsid w:val="1A38780A"/>
    <w:rsid w:val="1A3C348B"/>
    <w:rsid w:val="1B9B0AC3"/>
    <w:rsid w:val="1BB10D29"/>
    <w:rsid w:val="1BB337F2"/>
    <w:rsid w:val="1C772629"/>
    <w:rsid w:val="1CF547AE"/>
    <w:rsid w:val="1CF65CC8"/>
    <w:rsid w:val="1DB06C07"/>
    <w:rsid w:val="1E1D65C5"/>
    <w:rsid w:val="1E26229B"/>
    <w:rsid w:val="1E445FF6"/>
    <w:rsid w:val="1EAF2145"/>
    <w:rsid w:val="1F7923C8"/>
    <w:rsid w:val="1F992017"/>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BB95FC1"/>
    <w:rsid w:val="3BF23BBD"/>
    <w:rsid w:val="3C1463DC"/>
    <w:rsid w:val="3D5D41E4"/>
    <w:rsid w:val="3DDF3320"/>
    <w:rsid w:val="3DEF896D"/>
    <w:rsid w:val="3E1C6660"/>
    <w:rsid w:val="3E534107"/>
    <w:rsid w:val="3E6D7C40"/>
    <w:rsid w:val="3E7D7357"/>
    <w:rsid w:val="3E7E4483"/>
    <w:rsid w:val="3ED54F3C"/>
    <w:rsid w:val="3EEB0124"/>
    <w:rsid w:val="3F007A43"/>
    <w:rsid w:val="3F4F63EB"/>
    <w:rsid w:val="3F966F11"/>
    <w:rsid w:val="3FB74C49"/>
    <w:rsid w:val="400B2BD4"/>
    <w:rsid w:val="40644FCB"/>
    <w:rsid w:val="41330CF8"/>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D1526D4"/>
    <w:rsid w:val="4D6D2037"/>
    <w:rsid w:val="4D804106"/>
    <w:rsid w:val="4E26525A"/>
    <w:rsid w:val="4E3D3C01"/>
    <w:rsid w:val="4E423B39"/>
    <w:rsid w:val="4E8A31F9"/>
    <w:rsid w:val="4F364C44"/>
    <w:rsid w:val="4F3A05E4"/>
    <w:rsid w:val="4F896F2C"/>
    <w:rsid w:val="4FBA4337"/>
    <w:rsid w:val="504C5CD6"/>
    <w:rsid w:val="50515637"/>
    <w:rsid w:val="50A92D4C"/>
    <w:rsid w:val="50C9326E"/>
    <w:rsid w:val="52325B10"/>
    <w:rsid w:val="52533C9E"/>
    <w:rsid w:val="52745A82"/>
    <w:rsid w:val="52A76694"/>
    <w:rsid w:val="53631164"/>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DA7277"/>
    <w:rsid w:val="5CBB7F06"/>
    <w:rsid w:val="5CC951D9"/>
    <w:rsid w:val="5EF04743"/>
    <w:rsid w:val="5F3E0ACB"/>
    <w:rsid w:val="5F719710"/>
    <w:rsid w:val="5FFF3367"/>
    <w:rsid w:val="60296926"/>
    <w:rsid w:val="608A504B"/>
    <w:rsid w:val="60D01697"/>
    <w:rsid w:val="610C368A"/>
    <w:rsid w:val="619A66F6"/>
    <w:rsid w:val="61B25FB6"/>
    <w:rsid w:val="61C87088"/>
    <w:rsid w:val="626C5D26"/>
    <w:rsid w:val="626F3584"/>
    <w:rsid w:val="63916243"/>
    <w:rsid w:val="64594F63"/>
    <w:rsid w:val="64DC2F96"/>
    <w:rsid w:val="64EA1512"/>
    <w:rsid w:val="66F63CDE"/>
    <w:rsid w:val="67174435"/>
    <w:rsid w:val="67EF3E8A"/>
    <w:rsid w:val="68073088"/>
    <w:rsid w:val="68122A21"/>
    <w:rsid w:val="684360B9"/>
    <w:rsid w:val="686D42B8"/>
    <w:rsid w:val="698F4B52"/>
    <w:rsid w:val="69DC28C9"/>
    <w:rsid w:val="69DC3B86"/>
    <w:rsid w:val="6A4E41D7"/>
    <w:rsid w:val="6A73318F"/>
    <w:rsid w:val="6A850831"/>
    <w:rsid w:val="6A9C6BC1"/>
    <w:rsid w:val="6AAC43AB"/>
    <w:rsid w:val="6BA36B4E"/>
    <w:rsid w:val="6BEEC230"/>
    <w:rsid w:val="6D578914"/>
    <w:rsid w:val="6D8C308F"/>
    <w:rsid w:val="6E2E602E"/>
    <w:rsid w:val="6E547698"/>
    <w:rsid w:val="6E7C06DC"/>
    <w:rsid w:val="6E9149EE"/>
    <w:rsid w:val="6EBB6209"/>
    <w:rsid w:val="6F1827C1"/>
    <w:rsid w:val="6FDED90F"/>
    <w:rsid w:val="70530F00"/>
    <w:rsid w:val="706A0DB9"/>
    <w:rsid w:val="708E3EC7"/>
    <w:rsid w:val="713A7953"/>
    <w:rsid w:val="714F0D55"/>
    <w:rsid w:val="72526DF2"/>
    <w:rsid w:val="72CDC4DA"/>
    <w:rsid w:val="734D29FA"/>
    <w:rsid w:val="73A84BDE"/>
    <w:rsid w:val="73C82C13"/>
    <w:rsid w:val="73CB765F"/>
    <w:rsid w:val="74F32415"/>
    <w:rsid w:val="752442A1"/>
    <w:rsid w:val="7571060B"/>
    <w:rsid w:val="769E038C"/>
    <w:rsid w:val="76D2236C"/>
    <w:rsid w:val="77EF34B0"/>
    <w:rsid w:val="78360861"/>
    <w:rsid w:val="78432307"/>
    <w:rsid w:val="790B46BF"/>
    <w:rsid w:val="79313054"/>
    <w:rsid w:val="7948586D"/>
    <w:rsid w:val="797F123B"/>
    <w:rsid w:val="79BC665B"/>
    <w:rsid w:val="79FE79B4"/>
    <w:rsid w:val="7A050800"/>
    <w:rsid w:val="7AA93709"/>
    <w:rsid w:val="7AEBF352"/>
    <w:rsid w:val="7B6C4EA4"/>
    <w:rsid w:val="7BF64E7C"/>
    <w:rsid w:val="7D28E77E"/>
    <w:rsid w:val="7D7443DF"/>
    <w:rsid w:val="7DB3750F"/>
    <w:rsid w:val="7DB7E609"/>
    <w:rsid w:val="7DFB927B"/>
    <w:rsid w:val="7EF853F7"/>
    <w:rsid w:val="7F0D4BF9"/>
    <w:rsid w:val="7F693029"/>
    <w:rsid w:val="7F74512A"/>
    <w:rsid w:val="7FCF295D"/>
    <w:rsid w:val="7FD32164"/>
    <w:rsid w:val="AFDFB2EC"/>
    <w:rsid w:val="BA7B23C6"/>
    <w:rsid w:val="E7E32D34"/>
    <w:rsid w:val="F51711C5"/>
    <w:rsid w:val="F6BB9783"/>
    <w:rsid w:val="FBC7FF36"/>
    <w:rsid w:val="FE3F5735"/>
    <w:rsid w:val="FE734873"/>
    <w:rsid w:val="FFAEA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0"/>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851</Words>
  <Characters>4853</Characters>
  <Lines>40</Lines>
  <Paragraphs>11</Paragraphs>
  <TotalTime>0</TotalTime>
  <ScaleCrop>false</ScaleCrop>
  <LinksUpToDate>false</LinksUpToDate>
  <CharactersWithSpaces>5693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2021-07-26T20:29:00Z</dcterms:created>
  <dc:creator>user</dc:creator>
  <cp:lastModifiedBy>user</cp:lastModifiedBy>
  <cp:lastPrinted>2021-07-28T23:13:00Z</cp:lastPrinted>
  <dcterms:modified xsi:type="dcterms:W3CDTF">2021-09-18T14:44:57Z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