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第6期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w w:val="94"/>
          <w:sz w:val="28"/>
          <w:fitText w:val="5040" w:id="0"/>
        </w:rPr>
        <w:t>上海市国有资产监督管理委员会党委办公</w:t>
      </w:r>
      <w:r>
        <w:rPr>
          <w:rFonts w:hint="eastAsia" w:ascii="楷体_GB2312" w:eastAsia="楷体_GB2312"/>
          <w:spacing w:val="26"/>
          <w:w w:val="94"/>
          <w:sz w:val="28"/>
          <w:fitText w:val="5040" w:id="0"/>
        </w:rPr>
        <w:t>室</w:t>
      </w:r>
    </w:p>
    <w:p>
      <w:pPr>
        <w:widowControl w:val="0"/>
        <w:spacing w:line="360" w:lineRule="exact"/>
        <w:ind w:right="-101" w:rightChars="-42"/>
        <w:rPr>
          <w:rFonts w:ascii="楷体_GB2312" w:eastAsia="楷体_GB2312"/>
          <w:spacing w:val="-14"/>
          <w:sz w:val="28"/>
          <w:u w:val="single" w:color="FF0000"/>
        </w:rPr>
      </w:pPr>
      <w:r>
        <w:rPr>
          <w:rFonts w:hint="eastAsia" w:ascii="楷体_GB2312" w:eastAsia="楷体_GB2312"/>
          <w:spacing w:val="9"/>
          <w:sz w:val="28"/>
          <w:u w:val="single" w:color="FF0000"/>
          <w:fitText w:val="5068" w:id="1"/>
        </w:rPr>
        <w:t>上海市国有资产监督管理委员会办公</w:t>
      </w:r>
      <w:r>
        <w:rPr>
          <w:rFonts w:hint="eastAsia" w:ascii="楷体_GB2312" w:eastAsia="楷体_GB2312"/>
          <w:spacing w:val="10"/>
          <w:sz w:val="28"/>
          <w:u w:val="single" w:color="FF0000"/>
          <w:fitText w:val="5068" w:id="1"/>
        </w:rPr>
        <w:t>室</w:t>
      </w:r>
      <w:r>
        <w:rPr>
          <w:rFonts w:hint="eastAsia" w:ascii="楷体_GB2312" w:eastAsia="楷体_GB2312"/>
          <w:spacing w:val="-22"/>
          <w:sz w:val="28"/>
          <w:u w:val="single" w:color="FF0000"/>
        </w:rPr>
        <w:t xml:space="preserve">      </w:t>
      </w:r>
      <w:r>
        <w:rPr>
          <w:rFonts w:hint="eastAsia" w:ascii="楷体_GB2312" w:eastAsia="楷体_GB2312"/>
          <w:spacing w:val="-22"/>
          <w:sz w:val="28"/>
          <w:u w:val="single" w:color="FF0000"/>
        </w:rPr>
        <w:t xml:space="preserve">      </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rPr>
        <w:t>2</w:t>
      </w:r>
      <w:r>
        <w:rPr>
          <w:rFonts w:hint="eastAsia" w:ascii="楷体_GB2312" w:eastAsia="楷体_GB2312"/>
          <w:spacing w:val="-14"/>
          <w:sz w:val="28"/>
          <w:u w:val="single" w:color="FF0000"/>
        </w:rPr>
        <w:t>年</w:t>
      </w:r>
      <w:r>
        <w:rPr>
          <w:rFonts w:hint="eastAsia" w:ascii="楷体_GB2312" w:eastAsia="楷体_GB2312"/>
          <w:spacing w:val="-14"/>
          <w:sz w:val="28"/>
          <w:u w:val="single" w:color="FF0000"/>
        </w:rPr>
        <w:t>2</w:t>
      </w:r>
      <w:r>
        <w:rPr>
          <w:rFonts w:hint="eastAsia" w:ascii="楷体_GB2312" w:eastAsia="楷体_GB2312"/>
          <w:spacing w:val="-14"/>
          <w:sz w:val="28"/>
          <w:u w:val="single" w:color="FF0000"/>
        </w:rPr>
        <w:t>月</w:t>
      </w:r>
      <w:r>
        <w:rPr>
          <w:rFonts w:hint="eastAsia" w:ascii="楷体_GB2312" w:eastAsia="楷体_GB2312"/>
          <w:spacing w:val="-14"/>
          <w:sz w:val="28"/>
          <w:u w:val="single" w:color="FF0000"/>
        </w:rPr>
        <w:t xml:space="preserve"> </w:t>
      </w:r>
      <w:r>
        <w:rPr>
          <w:rFonts w:hint="eastAsia" w:ascii="楷体_GB2312" w:eastAsia="楷体_GB2312"/>
          <w:spacing w:val="-14"/>
          <w:sz w:val="28"/>
          <w:u w:val="single" w:color="FF0000"/>
          <w:lang w:eastAsia="zh-CN"/>
        </w:rPr>
        <w:t>28</w:t>
      </w:r>
      <w:bookmarkStart w:id="0" w:name="_GoBack"/>
      <w:bookmarkEnd w:id="0"/>
      <w:r>
        <w:rPr>
          <w:rFonts w:hint="eastAsia" w:ascii="楷体_GB2312" w:eastAsia="楷体_GB2312"/>
          <w:spacing w:val="-14"/>
          <w:sz w:val="28"/>
          <w:u w:val="single" w:color="FF0000"/>
        </w:rPr>
        <w:t>日</w:t>
      </w:r>
    </w:p>
    <w:p>
      <w:pPr>
        <w:pStyle w:val="6"/>
        <w:widowControl w:val="0"/>
        <w:shd w:val="clear" w:color="auto" w:fill="FFFFFF"/>
        <w:spacing w:beforeAutospacing="0" w:afterAutospacing="0"/>
        <w:jc w:val="both"/>
        <w:rPr>
          <w:rFonts w:ascii="Times New Roman" w:hAnsi="Times New Roman" w:eastAsia="仿宋字体"/>
          <w:sz w:val="32"/>
          <w:szCs w:val="32"/>
        </w:rPr>
      </w:pPr>
    </w:p>
    <w:p>
      <w:pPr>
        <w:widowControl w:val="0"/>
        <w:numPr>
          <w:ilvl w:val="0"/>
          <w:numId w:val="1"/>
        </w:numPr>
        <w:spacing w:after="156"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6"/>
        <w:shd w:val="clear" w:color="auto" w:fill="FFFFFF"/>
        <w:spacing w:before="156" w:beforeLines="50"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上海农商银行挖机动知识产权价值</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sz w:val="32"/>
          <w:szCs w:val="32"/>
        </w:rPr>
        <w:t>近日，上海市知识产权局、中国人民银行上海分行、中国银行保险监督管理委员会上海监督局和上海市地方金融监督管理局联合发文公布了“2021年上海知识产权质押融资工作十大典型案例”。上海农商银行“地理标志”质押赋能乡村振兴融资业务入选。</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sz w:val="32"/>
          <w:szCs w:val="32"/>
        </w:rPr>
        <w:t>2021年10月中旬，上海浦东新区惠南镇的上海新凤蜜露果蔬专业合作社凭借“地理标志”——“南汇水蜜桃”的无形价值，获得了上海农商银行发放的百万级商标质押融资贷款。这也是上海地区落地的首笔“地理标志”赋能商标质押融资贷款。之后，上海农商银行与多家水蜜桃种植、销售企业签订“水蜜桃品牌联社”战略合作计划，通过一对一结对模式，帮助企业解决“燃眉之急”，助力上海地产优质农产品品牌建设。</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sz w:val="32"/>
          <w:szCs w:val="32"/>
        </w:rPr>
        <w:t>近年来，上海农商银行不断深入挖掘知识产权价值，在业务体量上厚积薄发。2021年共计发放知识产权质押融资贷款20笔，累计质押金额逾6亿元，着眼中小企业融资难问题，着力发挥金融资本带动知识产权价值实现的作用，切实推动“知产变资产”。</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sz w:val="32"/>
          <w:szCs w:val="32"/>
        </w:rPr>
        <w:t>上海农商银行今后将继续探索对知识产权价值的挖掘，深化服务创新，与企业一同丰富对知识产权的认识，为提升上海“知识产权强市建设”软实力贡献力量。（上海农商银行）</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p>
    <w:p>
      <w:pPr>
        <w:pStyle w:val="6"/>
        <w:shd w:val="clear" w:color="auto" w:fill="FFFFFF"/>
        <w:spacing w:before="156" w:beforeLines="50"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国泰君安完成首批挂钩绿色债券信用联结票据创设</w:t>
      </w:r>
    </w:p>
    <w:p>
      <w:pPr>
        <w:pStyle w:val="6"/>
        <w:widowControl w:val="0"/>
        <w:shd w:val="clear" w:color="auto" w:fill="FFFFFF"/>
        <w:spacing w:beforeAutospacing="0" w:afterAutospacing="0"/>
        <w:ind w:firstLine="640" w:firstLineChars="200"/>
        <w:jc w:val="both"/>
        <w:rPr>
          <w:rFonts w:ascii="Times New Roman" w:hAnsi="Times New Roman" w:eastAsia="仿宋字体"/>
          <w:sz w:val="32"/>
          <w:szCs w:val="32"/>
        </w:rPr>
      </w:pPr>
      <w:r>
        <w:rPr>
          <w:rFonts w:hint="eastAsia" w:ascii="Times New Roman" w:hAnsi="Times New Roman" w:eastAsia="仿宋字体"/>
          <w:sz w:val="32"/>
          <w:szCs w:val="32"/>
        </w:rPr>
        <w:t>近日，国泰君安与中金公司携手完成银行间首批挂钩绿色债券信用联结票据的创设。</w:t>
      </w:r>
    </w:p>
    <w:p>
      <w:pPr>
        <w:pStyle w:val="6"/>
        <w:widowControl w:val="0"/>
        <w:shd w:val="clear" w:color="auto" w:fill="FFFFFF"/>
        <w:spacing w:beforeAutospacing="0" w:afterAutospacing="0"/>
        <w:ind w:firstLine="640" w:firstLineChars="200"/>
        <w:jc w:val="both"/>
        <w:rPr>
          <w:rFonts w:ascii="Times New Roman" w:hAnsi="Times New Roman" w:eastAsia="仿宋字体"/>
          <w:sz w:val="32"/>
          <w:szCs w:val="32"/>
        </w:rPr>
      </w:pPr>
      <w:r>
        <w:rPr>
          <w:rFonts w:hint="eastAsia" w:ascii="Times New Roman" w:hAnsi="Times New Roman" w:eastAsia="仿宋字体"/>
          <w:sz w:val="32"/>
          <w:szCs w:val="32"/>
        </w:rPr>
        <w:t>本批信用联结票据于中国银行间市场交易商协会综合业务和信息服务平台披露产品信息，在上海清算所进行确权登记，并可在全国银行间同业拆借中心交易流通。信用联结票据是指由创设机构向投资人创设，投资人的投资回报与参考实体信用状况挂钩的附有现金担保的一种凭证类信用风险缓释工具。本次挂钩绿色债券信用联结票据的创设，是国泰君安立足于服务“碳达峰”、“碳中和”的国家战略目标，积极推动信用衍生品等金融工具在经济转型中的支持引导功能的一次尝试，也进一步丰富了信用衍生品的应用场景，提高了绿色债券市场的活跃度。</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sz w:val="32"/>
          <w:szCs w:val="32"/>
        </w:rPr>
        <w:t>国泰君安长期以来高度重视信用衍生品业务发展，自业务开展以来，已通过“债券发行+信用保护”的综合金融解决方案，助力相关民营企业与国有企业的债券发行规模超300亿元。根据证券业协会统计，国泰君安2021年创设信用保护工具规模名列行业首位。信用衍生品业务的开展，也是“国泰君安避险”业务协助投资者管理信用风险、促进实体企业融资环境改善、坚定承担金融服务实体经济责任的一项具体实践。</w:t>
      </w:r>
      <w:r>
        <w:rPr>
          <w:rFonts w:hint="eastAsia" w:ascii="Times New Roman" w:hAnsi="Times New Roman" w:eastAsia="仿宋字体" w:cs="宋体"/>
          <w:sz w:val="32"/>
          <w:szCs w:val="32"/>
        </w:rPr>
        <w:t>（国泰君安）</w:t>
      </w:r>
    </w:p>
    <w:p>
      <w:pPr>
        <w:pStyle w:val="6"/>
        <w:widowControl w:val="0"/>
        <w:shd w:val="clear" w:color="auto" w:fill="FFFFFF"/>
        <w:spacing w:beforeAutospacing="0" w:afterAutospacing="0"/>
        <w:jc w:val="both"/>
        <w:rPr>
          <w:rFonts w:ascii="Times New Roman" w:hAnsi="Times New Roman" w:eastAsia="仿宋字体" w:cs="宋体"/>
          <w:sz w:val="32"/>
          <w:szCs w:val="32"/>
        </w:rPr>
      </w:pPr>
    </w:p>
    <w:p>
      <w:pPr>
        <w:pStyle w:val="6"/>
        <w:shd w:val="clear" w:color="auto" w:fill="FFFFFF"/>
        <w:spacing w:before="156" w:beforeLines="50"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上海银行针对小微企业推出系列优化政策</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sz w:val="32"/>
          <w:szCs w:val="32"/>
        </w:rPr>
        <w:t>为促进市场主体更好发展，激发小微企业更大活力，改善营商环境，上海银行针对小微企业推出系列优化政策，为“支付为民，开户不难”贡献力量。</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b/>
          <w:bCs/>
          <w:sz w:val="32"/>
          <w:szCs w:val="32"/>
        </w:rPr>
        <w:t>为通过“一窗通”预约开户企业提前发送账号。</w:t>
      </w:r>
      <w:r>
        <w:rPr>
          <w:rFonts w:hint="eastAsia" w:ascii="Times New Roman" w:hAnsi="Times New Roman" w:eastAsia="仿宋字体" w:cs="宋体"/>
          <w:sz w:val="32"/>
          <w:szCs w:val="32"/>
        </w:rPr>
        <w:t>上海银行已接入上海一网通办“一窗通”网上服务平台，企业在办理工商注册时可通过平台选择在上海银行办理预约开户，上海银行即同步提供预开账号，待企业携带资料至柜面办理正式账户激活。</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b/>
          <w:bCs/>
          <w:sz w:val="32"/>
          <w:szCs w:val="32"/>
        </w:rPr>
        <w:t>提供便捷式“简易账户”开户服务。</w:t>
      </w:r>
      <w:r>
        <w:rPr>
          <w:rFonts w:hint="eastAsia" w:ascii="Times New Roman" w:hAnsi="Times New Roman" w:eastAsia="仿宋字体" w:cs="宋体"/>
          <w:sz w:val="32"/>
          <w:szCs w:val="32"/>
        </w:rPr>
        <w:t>企业仅需提供营业执照、法定代表人身份证等开户基础资料，上海银行核实开户意愿和目的后即协助企业先行开立“简易账户”。</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b/>
          <w:bCs/>
          <w:sz w:val="32"/>
          <w:szCs w:val="32"/>
        </w:rPr>
        <w:t>为小微企业账户开户提供上门指导。</w:t>
      </w:r>
      <w:r>
        <w:rPr>
          <w:rFonts w:hint="eastAsia" w:ascii="Times New Roman" w:hAnsi="Times New Roman" w:eastAsia="仿宋字体" w:cs="宋体"/>
          <w:sz w:val="32"/>
          <w:szCs w:val="32"/>
        </w:rPr>
        <w:t>在企业至上海银行网点开立账户前，上海银行将安排专人对小微企业进行尽职调查的同时，对企业后续开立账户进行上门指导，保障小微企业的开户效率。</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b/>
          <w:bCs/>
          <w:sz w:val="32"/>
          <w:szCs w:val="32"/>
        </w:rPr>
        <w:t>免除小微企业开户费用。</w:t>
      </w:r>
      <w:r>
        <w:rPr>
          <w:rFonts w:hint="eastAsia" w:ascii="Times New Roman" w:hAnsi="Times New Roman" w:eastAsia="仿宋字体" w:cs="宋体"/>
          <w:sz w:val="32"/>
          <w:szCs w:val="32"/>
        </w:rPr>
        <w:t>上海银行对所有单位客户已实行免收本外币结算账户开户费的优惠政策，企业可通过上海银行营业网点、官方网站查看具体优惠及收费信息。</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b/>
          <w:bCs/>
          <w:sz w:val="32"/>
          <w:szCs w:val="32"/>
        </w:rPr>
        <w:t>赋能企业移动办公。</w:t>
      </w:r>
      <w:r>
        <w:rPr>
          <w:rFonts w:hint="eastAsia" w:ascii="Times New Roman" w:hAnsi="Times New Roman" w:eastAsia="仿宋字体" w:cs="宋体"/>
          <w:sz w:val="32"/>
          <w:szCs w:val="32"/>
        </w:rPr>
        <w:t>上海银行推出企业手机银行3.0版，页面功能焕新升级，全面支持企业移动办公。（上海银行）</w:t>
      </w:r>
    </w:p>
    <w:p>
      <w:pPr>
        <w:pStyle w:val="6"/>
        <w:widowControl w:val="0"/>
        <w:shd w:val="clear" w:color="auto" w:fill="FFFFFF"/>
        <w:spacing w:beforeAutospacing="0" w:afterAutospacing="0"/>
        <w:jc w:val="both"/>
        <w:rPr>
          <w:rFonts w:ascii="Times New Roman" w:hAnsi="Times New Roman" w:eastAsia="仿宋_GB2312"/>
          <w:sz w:val="32"/>
          <w:szCs w:val="32"/>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6"/>
        <w:shd w:val="clear" w:color="auto" w:fill="FFFFFF"/>
        <w:spacing w:before="156" w:beforeLines="50"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上汽通用汽车与中国移动全面深化战略合作</w:t>
      </w:r>
    </w:p>
    <w:p>
      <w:pPr>
        <w:pStyle w:val="6"/>
        <w:widowControl w:val="0"/>
        <w:shd w:val="clear" w:color="auto" w:fill="FFFFFF"/>
        <w:spacing w:beforeAutospacing="0" w:afterAutospacing="0"/>
        <w:ind w:firstLine="640" w:firstLineChars="200"/>
        <w:jc w:val="both"/>
        <w:rPr>
          <w:rFonts w:ascii="Times New Roman" w:hAnsi="Times New Roman" w:eastAsia="仿宋字体"/>
          <w:sz w:val="32"/>
          <w:szCs w:val="32"/>
        </w:rPr>
      </w:pPr>
      <w:r>
        <w:rPr>
          <w:rFonts w:hint="eastAsia" w:ascii="Times New Roman" w:hAnsi="Times New Roman" w:eastAsia="仿宋字体"/>
          <w:sz w:val="32"/>
          <w:szCs w:val="32"/>
        </w:rPr>
        <w:t>近日，上汽通用汽车与中国移动上海公司签署新一轮5G战略合作协议。着眼于汽车智能网联技术的快速发展及5G技未来广阔的应用场景，双方继续深化建设全面的战略伙伴关系，在5G车联网、工业互联网及通信配套设施建设等各个方面加快共同创新的步伐，巩固各自在市场竞争中的领先优势，引领国内车联网行业发展浪潮。</w:t>
      </w:r>
    </w:p>
    <w:p>
      <w:pPr>
        <w:pStyle w:val="6"/>
        <w:widowControl w:val="0"/>
        <w:shd w:val="clear" w:color="auto" w:fill="FFFFFF"/>
        <w:spacing w:beforeAutospacing="0" w:afterAutospacing="0"/>
        <w:ind w:firstLine="640" w:firstLineChars="200"/>
        <w:jc w:val="both"/>
        <w:rPr>
          <w:rFonts w:ascii="Times New Roman" w:hAnsi="Times New Roman" w:eastAsia="仿宋字体"/>
          <w:sz w:val="32"/>
          <w:szCs w:val="32"/>
        </w:rPr>
      </w:pPr>
      <w:r>
        <w:rPr>
          <w:rFonts w:hint="eastAsia" w:ascii="Times New Roman" w:hAnsi="Times New Roman" w:eastAsia="仿宋字体"/>
          <w:sz w:val="32"/>
          <w:szCs w:val="32"/>
        </w:rPr>
        <w:t>近年来，上汽通用汽车不断提升用户对智能网联汽车的体验。上汽通用汽车与中国移动也将本着“以用户为中心，不断提升用户体验”的共同理念，发挥在5G+AICDE（人工智能、物联网、云计算、大数据、边缘计算）方面的技术与资源优势，在5G车联网、5G+工业互联网，以及基础通信领域开展更广泛和深入的合作。双方不仅将大力推动新型基础设施建设，合力打造新型智慧园区，同时还将在品牌共建、价值经营等多个方面加强交流，不断提升用户体验，促进产业智能化升级。</w:t>
      </w:r>
    </w:p>
    <w:p>
      <w:pPr>
        <w:pStyle w:val="6"/>
        <w:widowControl w:val="0"/>
        <w:shd w:val="clear" w:color="auto" w:fill="FFFFFF"/>
        <w:spacing w:beforeAutospacing="0" w:afterAutospacing="0"/>
        <w:ind w:firstLine="640" w:firstLineChars="200"/>
        <w:jc w:val="both"/>
        <w:rPr>
          <w:rFonts w:ascii="Times New Roman" w:hAnsi="Times New Roman" w:eastAsia="仿宋字体"/>
          <w:sz w:val="32"/>
          <w:szCs w:val="32"/>
        </w:rPr>
      </w:pPr>
      <w:r>
        <w:rPr>
          <w:rFonts w:hint="eastAsia" w:ascii="Times New Roman" w:hAnsi="Times New Roman" w:eastAsia="仿宋字体"/>
          <w:sz w:val="32"/>
          <w:szCs w:val="32"/>
        </w:rPr>
        <w:t>在“算力替代马力，软件定义汽车”的智能汽车新时代，数据传输与通信能力的重要性日益凸显。上汽通用汽车与中国移动强强携手，将加快推进全球领先科技与通讯互联技术的应用，不断带来更加丰富、更为便利的网联服务，为消费者提供更好的出行体验。（上汽集团）</w:t>
      </w:r>
    </w:p>
    <w:p>
      <w:pPr>
        <w:pStyle w:val="6"/>
        <w:widowControl w:val="0"/>
        <w:shd w:val="clear" w:color="auto" w:fill="FFFFFF"/>
        <w:spacing w:beforeAutospacing="0" w:afterAutospacing="0"/>
        <w:ind w:firstLine="640" w:firstLineChars="200"/>
        <w:jc w:val="both"/>
        <w:rPr>
          <w:rFonts w:ascii="Times New Roman" w:hAnsi="Times New Roman" w:eastAsia="仿宋字体"/>
          <w:sz w:val="32"/>
          <w:szCs w:val="32"/>
          <w:lang w:val="zh-CN"/>
        </w:rPr>
      </w:pPr>
    </w:p>
    <w:p>
      <w:pPr>
        <w:pStyle w:val="2"/>
        <w:shd w:val="clear" w:color="auto" w:fill="FFFFFF"/>
        <w:spacing w:beforeAutospacing="0" w:after="210" w:afterAutospacing="0" w:line="21" w:lineRule="atLeast"/>
        <w:jc w:val="center"/>
        <w:rPr>
          <w:rFonts w:hint="default" w:ascii="Times New Roman" w:hAnsi="Times New Roman" w:eastAsia="华文中宋" w:cs="华文中宋"/>
          <w:b w:val="0"/>
          <w:kern w:val="0"/>
          <w:sz w:val="36"/>
          <w:szCs w:val="36"/>
          <w:shd w:val="clear" w:color="auto" w:fill="FFFFFF"/>
        </w:rPr>
      </w:pPr>
      <w:r>
        <w:rPr>
          <w:rFonts w:ascii="Times New Roman" w:hAnsi="Times New Roman" w:eastAsia="华文中宋" w:cs="华文中宋"/>
          <w:b w:val="0"/>
          <w:kern w:val="0"/>
          <w:sz w:val="36"/>
          <w:szCs w:val="36"/>
          <w:shd w:val="clear" w:color="auto" w:fill="FFFFFF"/>
        </w:rPr>
        <w:t>上海国资国企</w:t>
      </w:r>
      <w:r>
        <w:rPr>
          <w:rFonts w:ascii="Times New Roman" w:hAnsi="Times New Roman" w:eastAsia="华文中宋" w:cs="华文中宋"/>
          <w:b w:val="0"/>
          <w:kern w:val="0"/>
          <w:sz w:val="36"/>
          <w:szCs w:val="36"/>
          <w:shd w:val="clear" w:color="auto" w:fill="FFFFFF"/>
        </w:rPr>
        <w:t>助力打响“世界设计之都”品牌</w:t>
      </w:r>
    </w:p>
    <w:p>
      <w:pPr>
        <w:widowControl w:val="0"/>
        <w:ind w:right="-101" w:rightChars="-42" w:firstLine="640" w:firstLineChars="200"/>
        <w:rPr>
          <w:rFonts w:ascii="Times New Roman" w:hAnsi="Times New Roman" w:eastAsia="仿宋字体"/>
          <w:sz w:val="32"/>
          <w:szCs w:val="32"/>
          <w:lang w:bidi="ar"/>
        </w:rPr>
      </w:pPr>
      <w:r>
        <w:rPr>
          <w:rFonts w:ascii="Times New Roman" w:hAnsi="Times New Roman" w:eastAsia="仿宋字体"/>
          <w:sz w:val="32"/>
          <w:szCs w:val="32"/>
          <w:lang w:bidi="ar"/>
        </w:rPr>
        <w:t>近日，上海全力打响“世界设计之都”品牌，打造国内外优秀设计首发地、“设计+”新业态新模式策源地，整体推进工业、建筑、时尚、数字、服务“五大设计”发展。</w:t>
      </w:r>
    </w:p>
    <w:p>
      <w:pPr>
        <w:ind w:firstLine="640" w:firstLineChars="200"/>
        <w:rPr>
          <w:rFonts w:ascii="Times New Roman" w:hAnsi="Times New Roman" w:eastAsia="仿宋字体"/>
          <w:sz w:val="32"/>
          <w:szCs w:val="32"/>
          <w:lang w:bidi="ar"/>
        </w:rPr>
      </w:pPr>
      <w:r>
        <w:rPr>
          <w:rFonts w:hint="eastAsia" w:ascii="Times New Roman" w:hAnsi="Times New Roman" w:eastAsia="仿宋字体"/>
          <w:sz w:val="32"/>
          <w:szCs w:val="32"/>
          <w:lang w:bidi="ar"/>
        </w:rPr>
        <w:t>华建集团签约加入上海设计周共创伙伴，秉持“人民城市”重要理念，助力城市更新，践行绿色低碳，聚焦数字赋能，设计可阅读的建筑，打造有温度的城市，与其他设计门类领军高校、企业共同参与“世界一流”设计之都建设。</w:t>
      </w:r>
    </w:p>
    <w:p>
      <w:pPr>
        <w:ind w:firstLine="640" w:firstLineChars="200"/>
        <w:rPr>
          <w:rFonts w:ascii="Times New Roman" w:hAnsi="Times New Roman" w:eastAsia="仿宋字体"/>
          <w:sz w:val="32"/>
          <w:szCs w:val="32"/>
          <w:lang w:bidi="ar"/>
        </w:rPr>
      </w:pPr>
      <w:r>
        <w:rPr>
          <w:rFonts w:hint="eastAsia" w:ascii="Times New Roman" w:hAnsi="Times New Roman" w:eastAsia="仿宋字体"/>
          <w:sz w:val="32"/>
          <w:szCs w:val="32"/>
          <w:lang w:bidi="ar"/>
        </w:rPr>
        <w:t>上汽设计中心是上汽集团下属技术中心的设计部门，其汇聚了来自全球各地逾300名优秀设计人才，同时面向智能电驱动设计中心，组建了三大前瞻设计实验室：设计战略研究实验室、计算机设计实验室以及可视化实验室。</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sz w:val="32"/>
          <w:szCs w:val="32"/>
        </w:rPr>
        <w:t>联影医疗设计创新中心负责联影医疗全线产品的工业设计、交互设计和前瞻体验创新。十年时间，联影医疗设计创新中心完成了超过500款系统级、附件级医疗产品的设计和落地，4大产品线11款产品均获国际工业设计领域大奖-iF设计奖与红点奖，并被国家工业和信息化部评选为第五批国家级工业设计中心。</w:t>
      </w:r>
      <w:r>
        <w:rPr>
          <w:rFonts w:hint="eastAsia" w:ascii="Times New Roman" w:hAnsi="Times New Roman" w:eastAsia="仿宋字体" w:cs="宋体"/>
          <w:sz w:val="32"/>
          <w:szCs w:val="32"/>
        </w:rPr>
        <w:t>（华建集团、上汽集团、联和投资公司）</w:t>
      </w:r>
    </w:p>
    <w:p>
      <w:pPr>
        <w:widowControl w:val="0"/>
        <w:ind w:right="-101" w:rightChars="-42"/>
        <w:rPr>
          <w:rFonts w:ascii="Times New Roman" w:hAnsi="Times New Roman" w:eastAsia="仿宋字体"/>
          <w:sz w:val="32"/>
          <w:szCs w:val="32"/>
          <w:lang w:val="zh-CN"/>
        </w:rPr>
      </w:pPr>
    </w:p>
    <w:p>
      <w:pPr>
        <w:pStyle w:val="6"/>
        <w:shd w:val="clear" w:color="auto" w:fill="FFFFFF"/>
        <w:spacing w:before="156" w:beforeLines="50"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上咨集团助力新能源汽车绿色产业链体系研究</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ascii="Times New Roman" w:hAnsi="Times New Roman" w:eastAsia="仿宋字体" w:cs="宋体"/>
          <w:sz w:val="32"/>
          <w:szCs w:val="32"/>
        </w:rPr>
        <w:t>上咨集团聚焦新能源汽车绿色产业链发展，探究绿色体系的建立与推广，</w:t>
      </w:r>
      <w:r>
        <w:rPr>
          <w:rFonts w:hint="eastAsia" w:ascii="Times New Roman" w:hAnsi="Times New Roman" w:eastAsia="仿宋字体" w:cs="宋体"/>
          <w:sz w:val="32"/>
          <w:szCs w:val="32"/>
        </w:rPr>
        <w:t>积极贯彻</w:t>
      </w:r>
      <w:r>
        <w:rPr>
          <w:rFonts w:ascii="Times New Roman" w:hAnsi="Times New Roman" w:eastAsia="仿宋字体" w:cs="宋体"/>
          <w:sz w:val="32"/>
          <w:szCs w:val="32"/>
        </w:rPr>
        <w:t>“双碳”理念。</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ascii="Times New Roman" w:hAnsi="Times New Roman" w:eastAsia="仿宋字体" w:cs="宋体"/>
          <w:b/>
          <w:bCs/>
          <w:sz w:val="32"/>
          <w:szCs w:val="32"/>
        </w:rPr>
        <w:t>聚焦“绿中更绿”</w:t>
      </w:r>
      <w:r>
        <w:rPr>
          <w:rFonts w:hint="eastAsia" w:ascii="Times New Roman" w:hAnsi="Times New Roman" w:eastAsia="仿宋字体" w:cs="宋体"/>
          <w:sz w:val="32"/>
          <w:szCs w:val="32"/>
        </w:rPr>
        <w:t>。新能源汽车是全球汽车产业绿色发展的主要方向，在这一新的产业生态中融入绿色发展议题，通过过程管理，约束并激励上游供应商及下游充电站等环境、社会、治理、管理体系的建立，具有“绿中更绿”的意义。</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ascii="Times New Roman" w:hAnsi="Times New Roman" w:eastAsia="仿宋字体" w:cs="宋体"/>
          <w:b/>
          <w:bCs/>
          <w:sz w:val="32"/>
          <w:szCs w:val="32"/>
        </w:rPr>
        <w:t>放眼全产业链</w:t>
      </w:r>
      <w:r>
        <w:rPr>
          <w:rFonts w:hint="eastAsia" w:ascii="Times New Roman" w:hAnsi="Times New Roman" w:eastAsia="仿宋字体" w:cs="宋体"/>
          <w:sz w:val="32"/>
          <w:szCs w:val="32"/>
        </w:rPr>
        <w:t>。上咨集团对产业链上游的供应企业以及下游充电基础设施的高风险工序进行剖析，聚焦新能源汽车全产业链，以可持续发展为核心，将环境利益和对环境的管理纳入新能源汽车产业相关企业经营管理过程，提出绿色指标体系。</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b/>
          <w:bCs/>
          <w:sz w:val="32"/>
          <w:szCs w:val="32"/>
        </w:rPr>
        <w:t>科学制定指标体系</w:t>
      </w:r>
      <w:r>
        <w:rPr>
          <w:rFonts w:hint="eastAsia" w:ascii="Times New Roman" w:hAnsi="Times New Roman" w:eastAsia="仿宋字体" w:cs="宋体"/>
          <w:sz w:val="32"/>
          <w:szCs w:val="32"/>
        </w:rPr>
        <w:t>。上咨集团此次研究提出的绿色指标体系设置了建设、运行、采购、管理、信息公开、充电设备等6个一级指标，18个二级指标和27个相关评分规则，从多方面、多角度、多层次来综合考量新能源汽车企业的绿色程度，并通过定量和定性的形式客观呈现结果。（上咨集团）</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p>
    <w:p>
      <w:pPr>
        <w:pStyle w:val="6"/>
        <w:shd w:val="clear" w:color="auto" w:fill="FFFFFF"/>
        <w:spacing w:before="156" w:beforeLines="50"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东浩兰生集团面向全球发布“</w:t>
      </w:r>
      <w:r>
        <w:rPr>
          <w:rFonts w:hint="eastAsia" w:ascii="Times New Roman" w:hAnsi="Times New Roman" w:eastAsia="华文中宋" w:cs="华文中宋"/>
          <w:sz w:val="36"/>
          <w:szCs w:val="36"/>
          <w:shd w:val="clear" w:color="auto" w:fill="FFFFFF"/>
        </w:rPr>
        <w:t>AI</w:t>
      </w:r>
      <w:r>
        <w:rPr>
          <w:rFonts w:hint="eastAsia" w:ascii="Times New Roman" w:hAnsi="Times New Roman" w:eastAsia="华文中宋" w:cs="华文中宋"/>
          <w:sz w:val="36"/>
          <w:szCs w:val="36"/>
          <w:shd w:val="clear" w:color="auto" w:fill="FFFFFF"/>
        </w:rPr>
        <w:t>英雄帖”</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sz w:val="32"/>
          <w:szCs w:val="32"/>
        </w:rPr>
        <w:t>近日，2021世界人工智能大会总结会暨2022世界人工智能大会启动会在上海举行。</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sz w:val="32"/>
          <w:szCs w:val="32"/>
        </w:rPr>
        <w:t>启动会上，大会总执行单位东浩兰生集团发布了2022大会“AI英雄帖”征集，包括论坛合作单位征集、展区镇馆之宝征集、品牌赛事活动征集、应用体验策划征集、IP人物形象征集，招募新一批合作单位和伙伴，以更开放、更活力、更国际化的姿态为世界人工智能大会增色添彩。</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sz w:val="32"/>
          <w:szCs w:val="32"/>
        </w:rPr>
        <w:t>大会将继续秉持“智联世界”理念，始终坚持“高端化、国际化、专业化、市场化、智能化”的办会方针，发挥“科技风向标、应用展示台、产业加速器、治理议事厅”的重要作用。同时，通过线上线下联动的会展形式，联合多方资源，创建国际合作交流平台。</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sz w:val="32"/>
          <w:szCs w:val="32"/>
        </w:rPr>
        <w:t>2022世界人工智能大会将在传承往年大会的基本框架下，继续深化市场化办会机制，展现人工智能的新技术、新趋势、新思想，以大会促发展，以平台促进步。（东浩兰生集团）</w:t>
      </w:r>
    </w:p>
    <w:p>
      <w:pPr>
        <w:pStyle w:val="6"/>
        <w:shd w:val="clear" w:color="auto" w:fill="FFFFFF"/>
        <w:spacing w:before="156" w:beforeLines="50"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上海科创集团推出“知识产权快易贷”</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ascii="Times New Roman" w:hAnsi="Times New Roman" w:eastAsia="仿宋字体" w:cs="宋体"/>
          <w:sz w:val="32"/>
          <w:szCs w:val="32"/>
        </w:rPr>
        <w:t>在最新公布的“2021年上海知识产权质押融资工作十大典型案例”中，浦东科创集团下属子公司上海浦东科技融资担保有限公司（以下简称“科技担保”）案例《科技担保为知识产权质押注入活力》荣列其中，成为此次评选活动中唯一入选的担保公司。</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sz w:val="32"/>
          <w:szCs w:val="32"/>
        </w:rPr>
        <w:t>科技担保2021年担保业务新产品“知识产权快易贷”，直切痛点，以两个“明确”、三个“缩短”来实现“快”，紧扣 “易获”、“易得”来实现“易”，该产品以其“快”和“易”的鲜明特征，在知识产权质押融资的诸多产品中脱颖而出。</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r>
        <w:rPr>
          <w:rFonts w:hint="eastAsia" w:ascii="Times New Roman" w:hAnsi="Times New Roman" w:eastAsia="仿宋字体" w:cs="宋体"/>
          <w:sz w:val="32"/>
          <w:szCs w:val="32"/>
        </w:rPr>
        <w:t>“知识产权快易贷”一经推出，以其流程短、审批快、手续简便的特点，得到了科技企业和合作银行的广泛欢迎。产品推出不到半年，就已落地10多单，为企业解决融资需求4000多万元。未来，科技担保公司将持续深入挖掘，对照不同科技企业特点和外部环境变化开发担保产品。（上海科创集团）</w:t>
      </w:r>
    </w:p>
    <w:p>
      <w:pPr>
        <w:pStyle w:val="6"/>
        <w:widowControl w:val="0"/>
        <w:shd w:val="clear" w:color="auto" w:fill="FFFFFF"/>
        <w:spacing w:beforeAutospacing="0" w:afterAutospacing="0"/>
        <w:ind w:firstLine="640" w:firstLineChars="200"/>
        <w:jc w:val="both"/>
        <w:rPr>
          <w:rFonts w:ascii="Times New Roman" w:hAnsi="Times New Roman" w:eastAsia="仿宋字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华文行楷">
    <w:altName w:val="汉仪行楷简"/>
    <w:panose1 w:val="02010800040101010101"/>
    <w:charset w:val="86"/>
    <w:family w:val="auto"/>
    <w:pitch w:val="default"/>
    <w:sig w:usb0="00000000" w:usb1="00000000" w:usb2="00000010" w:usb3="00000000" w:csb0="00040000" w:csb1="00000000"/>
  </w:font>
  <w:font w:name="Monotype Corsiva">
    <w:altName w:val="汉仪叶叶相思体简"/>
    <w:panose1 w:val="03010101010201010101"/>
    <w:charset w:val="00"/>
    <w:family w:val="script"/>
    <w:pitch w:val="default"/>
    <w:sig w:usb0="00000000" w:usb1="00000000" w:usb2="00000000" w:usb3="00000000" w:csb0="0000009F" w:csb1="00000000"/>
  </w:font>
  <w:font w:name="方正舒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0" w:usb1="00000000" w:usb2="00000010" w:usb3="00000000" w:csb0="00040000" w:csb1="00000000"/>
  </w:font>
  <w:font w:name="仿宋字体">
    <w:altName w:val="Arial Unicode MS"/>
    <w:panose1 w:val="00000000000000000000"/>
    <w:charset w:val="86"/>
    <w:family w:val="auto"/>
    <w:pitch w:val="default"/>
    <w:sig w:usb0="00000000" w:usb1="00000000" w:usb2="00000000" w:usb3="00000000" w:csb0="0004009F" w:csb1="DFD70000"/>
  </w:font>
  <w:font w:name="华文中宋">
    <w:panose1 w:val="02010600040101010101"/>
    <w:charset w:val="86"/>
    <w:family w:val="auto"/>
    <w:pitch w:val="default"/>
    <w:sig w:usb0="00000000" w:usb1="00000000" w:usb2="00000010" w:usb3="00000000" w:csb0="0004009F" w:csb1="00000000"/>
  </w:font>
  <w:font w:name="仿宋_GB2312">
    <w:altName w:val="微软雅黑"/>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spacing w:beforeAutospacing="1" w:afterAutospacing="1"/>
    </w:pPr>
    <w:rPr>
      <w:rFonts w:cs="Times New Roman"/>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555</Words>
  <Characters>3166</Characters>
  <Lines>26</Lines>
  <Paragraphs>7</Paragraphs>
  <TotalTime>0</TotalTime>
  <ScaleCrop>false</ScaleCrop>
  <LinksUpToDate>false</LinksUpToDate>
  <CharactersWithSpaces>3714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2021-01-16T11:06:00Z</dcterms:created>
  <dc:creator>user</dc:creator>
  <cp:lastModifiedBy>吕佳琦的iPhone</cp:lastModifiedBy>
  <cp:lastPrinted>2022-02-24T20:44:00Z</cp:lastPrinted>
  <dcterms:modified xsi:type="dcterms:W3CDTF">2022-02-28T16:35:39Z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E49CCA2F59FF1B8E47891C62FC94FAA8</vt:lpwstr>
  </property>
</Properties>
</file>