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963BD">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ascii="Times New Roman" w:hAnsi="Times New Roman" w:eastAsia="方正舒体"/>
          <w:b/>
          <w:sz w:val="36"/>
          <w:szCs w:val="36"/>
        </w:rPr>
      </w:pPr>
      <w:r>
        <w:rPr>
          <w:rFonts w:hint="eastAsia" w:ascii="Times New Roman" w:hAnsi="Times New Roman" w:eastAsia="华文行楷"/>
          <w:color w:val="FF0000"/>
          <w:spacing w:val="-60"/>
          <w:sz w:val="180"/>
          <w:szCs w:val="180"/>
        </w:rPr>
        <w:t>上海国资</w:t>
      </w:r>
    </w:p>
    <w:p w14:paraId="4E9B203B">
      <w:pPr>
        <w:keepNext w:val="0"/>
        <w:keepLines w:val="0"/>
        <w:pageBreakBefore w:val="0"/>
        <w:widowControl w:val="0"/>
        <w:kinsoku/>
        <w:wordWrap/>
        <w:overflowPunct/>
        <w:topLinePunct w:val="0"/>
        <w:autoSpaceDE/>
        <w:autoSpaceDN/>
        <w:bidi w:val="0"/>
        <w:adjustRightInd/>
        <w:snapToGrid/>
        <w:spacing w:line="480" w:lineRule="exact"/>
        <w:ind w:right="-101" w:rightChars="-42"/>
        <w:jc w:val="center"/>
        <w:textAlignment w:val="auto"/>
        <w:rPr>
          <w:rFonts w:ascii="Times New Roman" w:hAnsi="Times New Roman"/>
          <w:b/>
          <w:sz w:val="32"/>
        </w:rPr>
      </w:pPr>
      <w:r>
        <w:rPr>
          <w:rFonts w:hint="eastAsia" w:ascii="Times New Roman" w:hAnsi="Times New Roman"/>
          <w:b/>
          <w:sz w:val="32"/>
        </w:rPr>
        <w:t>第</w:t>
      </w:r>
      <w:r>
        <w:rPr>
          <w:rFonts w:hint="eastAsia" w:ascii="Times New Roman" w:hAnsi="Times New Roman" w:cs="Times New Roman"/>
          <w:b w:val="0"/>
          <w:bCs/>
          <w:sz w:val="32"/>
          <w:lang w:val="en-US" w:eastAsia="zh-CN"/>
        </w:rPr>
        <w:t>16</w:t>
      </w:r>
      <w:r>
        <w:rPr>
          <w:rFonts w:hint="eastAsia" w:ascii="Times New Roman" w:hAnsi="Times New Roman"/>
          <w:b/>
          <w:sz w:val="32"/>
        </w:rPr>
        <w:t>期</w:t>
      </w:r>
    </w:p>
    <w:p w14:paraId="7A780EFE">
      <w:pPr>
        <w:keepNext w:val="0"/>
        <w:keepLines w:val="0"/>
        <w:pageBreakBefore w:val="0"/>
        <w:widowControl w:val="0"/>
        <w:kinsoku/>
        <w:wordWrap/>
        <w:overflowPunct/>
        <w:topLinePunct w:val="0"/>
        <w:autoSpaceDE/>
        <w:autoSpaceDN/>
        <w:bidi w:val="0"/>
        <w:adjustRightInd/>
        <w:snapToGrid/>
        <w:spacing w:line="480" w:lineRule="exact"/>
        <w:ind w:right="-101" w:rightChars="-42"/>
        <w:jc w:val="left"/>
        <w:textAlignment w:val="auto"/>
        <w:rPr>
          <w:rFonts w:ascii="Times New Roman" w:hAnsi="Times New Roman"/>
          <w:b/>
          <w:sz w:val="32"/>
        </w:rPr>
      </w:pPr>
    </w:p>
    <w:p w14:paraId="3939E4C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exact"/>
        <w:ind w:right="-101" w:rightChars="-42"/>
        <w:jc w:val="both"/>
        <w:textAlignment w:val="auto"/>
        <w:rPr>
          <w:rFonts w:hint="eastAsia" w:ascii="Times New Roman" w:hAnsi="Times New Roman" w:eastAsia="仿宋_GB2312" w:cs="仿宋_GB2312"/>
          <w:sz w:val="32"/>
          <w:szCs w:val="32"/>
          <w:lang w:val="en-US" w:eastAsia="zh-CN"/>
        </w:rPr>
      </w:pPr>
      <w:r>
        <w:rPr>
          <w:rFonts w:hint="default" w:ascii="Times New Roman" w:hAnsi="Times New Roman" w:eastAsia="楷体_GB2312" w:cs="Times New Roman"/>
          <w:spacing w:val="-14"/>
          <w:sz w:val="28"/>
          <w:szCs w:val="24"/>
          <w:u w:val="single" w:color="FF0000"/>
          <w:lang w:val="en-US" w:eastAsia="zh-CN"/>
        </w:rPr>
        <w:t>上海市国有资产监督管理委员会办公室（党委办公室）     202</w:t>
      </w:r>
      <w:r>
        <w:rPr>
          <w:rFonts w:hint="eastAsia" w:ascii="Times New Roman" w:hAnsi="Times New Roman" w:eastAsia="楷体_GB2312" w:cs="Times New Roman"/>
          <w:spacing w:val="-14"/>
          <w:sz w:val="28"/>
          <w:szCs w:val="24"/>
          <w:u w:val="single" w:color="FF0000"/>
          <w:lang w:val="en-US" w:eastAsia="zh-CN"/>
        </w:rPr>
        <w:t>6</w:t>
      </w:r>
      <w:r>
        <w:rPr>
          <w:rFonts w:hint="default" w:ascii="Times New Roman" w:hAnsi="Times New Roman" w:eastAsia="楷体_GB2312" w:cs="Times New Roman"/>
          <w:spacing w:val="-14"/>
          <w:sz w:val="28"/>
          <w:szCs w:val="24"/>
          <w:u w:val="single" w:color="FF0000"/>
          <w:lang w:val="en-US" w:eastAsia="zh-CN"/>
        </w:rPr>
        <w:t>年</w:t>
      </w:r>
      <w:r>
        <w:rPr>
          <w:rFonts w:hint="eastAsia" w:ascii="Times New Roman" w:hAnsi="Times New Roman" w:eastAsia="楷体_GB2312" w:cs="Times New Roman"/>
          <w:spacing w:val="-14"/>
          <w:sz w:val="28"/>
          <w:szCs w:val="24"/>
          <w:u w:val="single" w:color="FF0000"/>
          <w:lang w:val="en-US" w:eastAsia="zh-CN"/>
        </w:rPr>
        <w:t>8</w:t>
      </w:r>
      <w:r>
        <w:rPr>
          <w:rFonts w:hint="default" w:ascii="Times New Roman" w:hAnsi="Times New Roman" w:eastAsia="楷体_GB2312" w:cs="Times New Roman"/>
          <w:spacing w:val="-14"/>
          <w:sz w:val="28"/>
          <w:szCs w:val="24"/>
          <w:u w:val="single" w:color="FF0000"/>
          <w:lang w:val="en-US" w:eastAsia="zh-CN"/>
        </w:rPr>
        <w:t>月</w:t>
      </w:r>
      <w:r>
        <w:rPr>
          <w:rFonts w:hint="eastAsia" w:ascii="Times New Roman" w:hAnsi="Times New Roman" w:eastAsia="楷体_GB2312" w:cs="Times New Roman"/>
          <w:spacing w:val="-14"/>
          <w:sz w:val="28"/>
          <w:szCs w:val="24"/>
          <w:u w:val="single" w:color="FF0000"/>
          <w:lang w:val="en-US" w:eastAsia="zh-CN"/>
        </w:rPr>
        <w:t xml:space="preserve">  </w:t>
      </w:r>
      <w:r>
        <w:rPr>
          <w:rFonts w:hint="default" w:ascii="Times New Roman" w:hAnsi="Times New Roman" w:eastAsia="楷体_GB2312" w:cs="Times New Roman"/>
          <w:spacing w:val="-14"/>
          <w:sz w:val="28"/>
          <w:szCs w:val="24"/>
          <w:u w:val="single" w:color="FF0000"/>
          <w:lang w:val="en-US" w:eastAsia="zh-CN"/>
        </w:rPr>
        <w:t>日</w:t>
      </w:r>
    </w:p>
    <w:p w14:paraId="0475D81E">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right="0" w:rightChars="0" w:firstLine="0" w:firstLineChars="0"/>
        <w:jc w:val="left"/>
        <w:textAlignment w:val="auto"/>
        <w:rPr>
          <w:rFonts w:hint="eastAsia" w:ascii="Times New Roman" w:hAnsi="Times New Roman" w:eastAsia="楷体_GB2312" w:cs="楷体_GB2312"/>
          <w:b/>
          <w:bCs w:val="0"/>
          <w:i w:val="0"/>
          <w:caps w:val="0"/>
          <w:spacing w:val="-6"/>
          <w:kern w:val="44"/>
          <w:sz w:val="32"/>
          <w:szCs w:val="32"/>
          <w:shd w:val="clear" w:fill="FFFFFF"/>
          <w:lang w:val="en-US" w:eastAsia="zh-CN" w:bidi="ar"/>
        </w:rPr>
      </w:pPr>
      <w:r>
        <w:rPr>
          <w:rFonts w:hint="eastAsia" w:ascii="Times New Roman" w:hAnsi="Times New Roman" w:eastAsia="楷体_GB2312" w:cs="楷体_GB2312"/>
          <w:b/>
          <w:bCs w:val="0"/>
          <w:i w:val="0"/>
          <w:caps w:val="0"/>
          <w:spacing w:val="-6"/>
          <w:kern w:val="44"/>
          <w:sz w:val="32"/>
          <w:szCs w:val="32"/>
          <w:shd w:val="clear" w:fill="FFFFFF"/>
          <w:lang w:val="en-US" w:eastAsia="zh-CN" w:bidi="ar"/>
        </w:rPr>
        <w:t>重要动态</w:t>
      </w:r>
    </w:p>
    <w:p w14:paraId="218ECC7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jc w:val="center"/>
        <w:textAlignment w:val="auto"/>
        <w:rPr>
          <w:rFonts w:hint="eastAsia" w:ascii="Times New Roman" w:hAnsi="Times New Roman"/>
          <w:lang w:val="en-US" w:eastAsia="zh-CN"/>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上海市国资委召开“加快大宗商品贸易高质量发展暨建设国际化大宗商品贸易投资商推进会”</w:t>
      </w:r>
    </w:p>
    <w:p w14:paraId="6B4FA26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近日，上海市国资委召开“加快大宗商品贸易高质量发展暨建设国际化大宗商品贸易投资商推进会”。上海市副市长贺青出席会议并讲话。上海市国资委党委书记、主任周小全主持会议。</w:t>
      </w:r>
    </w:p>
    <w:p w14:paraId="67A81AD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贺青指出，做强大宗商品资源配置功能、加快打造大宗商品贸易投资平台，是市委、市政府提升“上海价格”影响力的重要决策部署，也是落实全市“十五五”规划的一项重要任务。要以战略定位为引领，从强化国家产业链供应链韧性、推动上海城市核心功能提升、优化国资布局等方面，进一步认识大宗商品贸易发展的重要意义。要以生态合作为重点，推动国资国企主动跨前、协同联动，从当前生产经营和产业前瞻布局两个层面系统梳理需求，围绕重点品种加强产业协同。要统筹好监管和服务，政府部门建立全链条、闭环式工作推进机制，围绕“市场化、国际化、专业化、数字化”发展要求，为打造大宗商品贸易投资平台创造更好条件。贺青充分肯定国茂控股前期工作并指出，国茂控股要把准定位，走差异化发展道路，全面融入上海“2+3+6+6”现代</w:t>
      </w:r>
      <w:r>
        <w:rPr>
          <w:rFonts w:hint="eastAsia" w:ascii="Times New Roman" w:hAnsi="Times New Roman" w:eastAsia="仿宋_GB2312" w:cs="仿宋_GB2312"/>
          <w:b w:val="0"/>
          <w:bCs w:val="0"/>
          <w:spacing w:val="-17"/>
          <w:sz w:val="32"/>
          <w:szCs w:val="32"/>
          <w:lang w:val="en-US" w:eastAsia="zh-CN"/>
        </w:rPr>
        <w:t>化产业体系建设，持续增强在大宗商品关键领域、关键环节的影响力。</w:t>
      </w:r>
    </w:p>
    <w:p w14:paraId="2D2B64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会上，中国有色金属工业协会作主题演讲。国茂控股汇报落实首次“建设国际化大宗商品贸易投资商座谈会”精神的情况，公司成立半年以来的发展情况、下一步发展的思考认识，并提出产业生态圈合作建议。国茂控股分别与上汽集团、上海电气、申能集团、上港集团签署业务合作框架协议，为进一步深化协同合作，共同建设大宗商品产业生态打下基础。签约仪式后，上汽集团、上海电气、申能集团、上港集团和普陀区结合各自功能定位和资源优势，围绕产业需求、资源组织、能源保障、港航物流和区域服务等作交流发言。</w:t>
      </w:r>
    </w:p>
    <w:p w14:paraId="1522321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市委金融办、市商务委、市交通委、市农业农村委、市市场监管局、普陀区等有关负责同志，17家市属国企负责同志参加会议。（上海市国资委）</w:t>
      </w:r>
    </w:p>
    <w:p w14:paraId="6F49395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p>
    <w:p w14:paraId="5265C302">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right="0" w:rightChars="0" w:firstLine="0" w:firstLineChars="0"/>
        <w:jc w:val="left"/>
        <w:textAlignment w:val="auto"/>
        <w:rPr>
          <w:rFonts w:hint="eastAsia" w:ascii="Times New Roman" w:hAnsi="Times New Roman"/>
          <w:lang w:val="en-US" w:eastAsia="zh-CN"/>
        </w:rPr>
      </w:pPr>
      <w:r>
        <w:rPr>
          <w:rFonts w:hint="eastAsia" w:ascii="Times New Roman" w:hAnsi="Times New Roman" w:eastAsia="楷体_GB2312" w:cs="楷体_GB2312"/>
          <w:b/>
          <w:bCs w:val="0"/>
          <w:i w:val="0"/>
          <w:caps w:val="0"/>
          <w:spacing w:val="-6"/>
          <w:kern w:val="44"/>
          <w:sz w:val="32"/>
          <w:szCs w:val="32"/>
          <w:shd w:val="clear" w:fill="FFFFFF"/>
          <w:lang w:val="en-US" w:eastAsia="zh-CN" w:bidi="ar"/>
        </w:rPr>
        <w:t>国企之窗</w:t>
      </w:r>
    </w:p>
    <w:p w14:paraId="20CAF6B0">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default"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上汽集团与通用汽车签署合资续约协议</w:t>
      </w:r>
    </w:p>
    <w:p w14:paraId="23A016EB">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合资期限延长20年</w:t>
      </w:r>
    </w:p>
    <w:p w14:paraId="324A8027">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kern w:val="0"/>
          <w:sz w:val="32"/>
          <w:szCs w:val="32"/>
          <w:highlight w:val="none"/>
          <w:u w:val="none"/>
          <w:lang w:bidi="ar"/>
        </w:rPr>
      </w:pPr>
      <w:r>
        <w:rPr>
          <w:rFonts w:hint="eastAsia" w:ascii="Times New Roman" w:hAnsi="Times New Roman" w:eastAsia="仿宋_GB2312" w:cs="仿宋_GB2312"/>
          <w:b w:val="0"/>
          <w:bCs w:val="0"/>
          <w:sz w:val="32"/>
          <w:szCs w:val="32"/>
          <w:lang w:val="en-US" w:eastAsia="zh-CN"/>
        </w:rPr>
        <w:t>近日，</w:t>
      </w:r>
      <w:r>
        <w:rPr>
          <w:rFonts w:hint="eastAsia" w:ascii="Times New Roman" w:hAnsi="Times New Roman" w:eastAsia="仿宋_GB2312" w:cs="仿宋_GB2312"/>
          <w:kern w:val="0"/>
          <w:sz w:val="32"/>
          <w:szCs w:val="32"/>
          <w:lang w:bidi="ar"/>
        </w:rPr>
        <w:t>上汽集团与通用汽车在上海世界会客厅签署合资续约协议，将上汽通用汽车合资期限延长20年至2047年。自1997年成立以来，上汽通用汽车深耕中国近30年，此次续约是股东双方上汽集团与通用汽车基于长期合作基础，对中国市场长期价值和智电转型前景投下</w:t>
      </w:r>
      <w:r>
        <w:rPr>
          <w:rFonts w:hint="eastAsia" w:ascii="Times New Roman" w:hAnsi="Times New Roman" w:eastAsia="仿宋_GB2312" w:cs="仿宋_GB2312"/>
          <w:kern w:val="0"/>
          <w:sz w:val="32"/>
          <w:szCs w:val="32"/>
          <w:highlight w:val="none"/>
          <w:u w:val="none"/>
          <w:lang w:bidi="ar"/>
        </w:rPr>
        <w:t>的信心票。</w:t>
      </w:r>
      <w:r>
        <w:rPr>
          <w:rFonts w:hint="eastAsia" w:ascii="Times New Roman" w:hAnsi="Times New Roman" w:eastAsia="仿宋_GB2312" w:cs="仿宋_GB2312"/>
          <w:kern w:val="0"/>
          <w:sz w:val="32"/>
          <w:szCs w:val="32"/>
          <w:highlight w:val="none"/>
          <w:u w:val="none"/>
          <w:lang w:eastAsia="zh-CN" w:bidi="ar"/>
        </w:rPr>
        <w:t>今年以来</w:t>
      </w:r>
      <w:r>
        <w:rPr>
          <w:rFonts w:hint="eastAsia" w:ascii="Times New Roman" w:hAnsi="Times New Roman" w:eastAsia="仿宋_GB2312" w:cs="仿宋_GB2312"/>
          <w:kern w:val="0"/>
          <w:sz w:val="32"/>
          <w:szCs w:val="32"/>
          <w:highlight w:val="none"/>
          <w:u w:val="none"/>
          <w:lang w:bidi="ar"/>
        </w:rPr>
        <w:t>，上汽通用逐步调整发展节奏，加快品牌与产品焕新，密集推出智电新品，销量和经营质量稳中有升。双方将进一步协同技术研发、供应链与全球市场资源，全面支持上汽通用汽车智电转型、本土创新与全球化发展。</w:t>
      </w:r>
    </w:p>
    <w:p w14:paraId="51CBA8D5">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b/>
          <w:bCs/>
          <w:kern w:val="0"/>
          <w:sz w:val="32"/>
          <w:szCs w:val="32"/>
          <w:lang w:bidi="ar"/>
        </w:rPr>
        <w:t>勇做合资合作</w:t>
      </w:r>
      <w:r>
        <w:rPr>
          <w:rFonts w:hint="eastAsia" w:ascii="Times New Roman" w:hAnsi="Times New Roman" w:eastAsia="仿宋_GB2312" w:cs="仿宋_GB2312"/>
          <w:b/>
          <w:bCs/>
          <w:kern w:val="0"/>
          <w:sz w:val="32"/>
          <w:szCs w:val="32"/>
          <w:lang w:eastAsia="zh-CN" w:bidi="ar"/>
        </w:rPr>
        <w:t>“</w:t>
      </w:r>
      <w:r>
        <w:rPr>
          <w:rFonts w:hint="eastAsia" w:ascii="Times New Roman" w:hAnsi="Times New Roman" w:eastAsia="仿宋_GB2312" w:cs="仿宋_GB2312"/>
          <w:b/>
          <w:bCs/>
          <w:kern w:val="0"/>
          <w:sz w:val="32"/>
          <w:szCs w:val="32"/>
          <w:lang w:bidi="ar"/>
        </w:rPr>
        <w:t>开拓者</w:t>
      </w:r>
      <w:r>
        <w:rPr>
          <w:rFonts w:hint="eastAsia" w:ascii="Times New Roman" w:hAnsi="Times New Roman" w:eastAsia="仿宋_GB2312" w:cs="仿宋_GB2312"/>
          <w:b/>
          <w:bCs/>
          <w:kern w:val="0"/>
          <w:sz w:val="32"/>
          <w:szCs w:val="32"/>
          <w:lang w:eastAsia="zh-CN" w:bidi="ar"/>
        </w:rPr>
        <w:t>”</w:t>
      </w:r>
      <w:r>
        <w:rPr>
          <w:rFonts w:hint="eastAsia" w:ascii="Times New Roman" w:hAnsi="Times New Roman" w:eastAsia="仿宋_GB2312" w:cs="仿宋_GB2312"/>
          <w:b/>
          <w:bCs/>
          <w:kern w:val="0"/>
          <w:sz w:val="32"/>
          <w:szCs w:val="32"/>
          <w:lang w:bidi="ar"/>
        </w:rPr>
        <w:t>。</w:t>
      </w:r>
      <w:r>
        <w:rPr>
          <w:rFonts w:hint="eastAsia" w:ascii="Times New Roman" w:hAnsi="Times New Roman" w:eastAsia="仿宋_GB2312" w:cs="仿宋_GB2312"/>
          <w:kern w:val="0"/>
          <w:sz w:val="32"/>
          <w:szCs w:val="32"/>
          <w:lang w:bidi="ar"/>
        </w:rPr>
        <w:t>1997年，作为当时中美最大的合资项目之一，上汽通用汽车落户浦东金桥。以23个月建厂、投产当年即盈利的</w:t>
      </w:r>
      <w:r>
        <w:rPr>
          <w:rFonts w:hint="eastAsia" w:ascii="Times New Roman" w:hAnsi="Times New Roman" w:eastAsia="仿宋_GB2312" w:cs="仿宋_GB2312"/>
          <w:kern w:val="0"/>
          <w:sz w:val="32"/>
          <w:szCs w:val="32"/>
          <w:lang w:eastAsia="zh-CN" w:bidi="ar"/>
        </w:rPr>
        <w:t>“</w:t>
      </w:r>
      <w:r>
        <w:rPr>
          <w:rFonts w:hint="eastAsia" w:ascii="Times New Roman" w:hAnsi="Times New Roman" w:eastAsia="仿宋_GB2312" w:cs="仿宋_GB2312"/>
          <w:kern w:val="0"/>
          <w:sz w:val="32"/>
          <w:szCs w:val="32"/>
          <w:lang w:bidi="ar"/>
        </w:rPr>
        <w:t>上海速度</w:t>
      </w:r>
      <w:r>
        <w:rPr>
          <w:rFonts w:hint="eastAsia" w:ascii="Times New Roman" w:hAnsi="Times New Roman" w:eastAsia="仿宋_GB2312" w:cs="仿宋_GB2312"/>
          <w:kern w:val="0"/>
          <w:sz w:val="32"/>
          <w:szCs w:val="32"/>
          <w:lang w:eastAsia="zh-CN" w:bidi="ar"/>
        </w:rPr>
        <w:t>”</w:t>
      </w:r>
      <w:r>
        <w:rPr>
          <w:rFonts w:hint="eastAsia" w:ascii="Times New Roman" w:hAnsi="Times New Roman" w:eastAsia="仿宋_GB2312" w:cs="仿宋_GB2312"/>
          <w:kern w:val="0"/>
          <w:sz w:val="32"/>
          <w:szCs w:val="32"/>
          <w:lang w:bidi="ar"/>
        </w:rPr>
        <w:t>刷新行业纪录。公司率先建立全球标准的制造、质量与供应链体系，依托泛亚汽车技术中心开创本土研发先河，成为国内首家同时具备整车与新能源三电系统正向开发、验证和量产能力的合资车企，主导或参与制定近300项行业标准。目前公司拥有400余家核心供应商，本土化采购率达99%，近百家本土供应商进入全球供应链体系，成为中美产业合资合作的标杆。</w:t>
      </w:r>
    </w:p>
    <w:p w14:paraId="0AF73B59">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kern w:val="0"/>
          <w:sz w:val="32"/>
          <w:szCs w:val="32"/>
          <w:lang w:bidi="ar"/>
        </w:rPr>
      </w:pPr>
      <w:r>
        <w:rPr>
          <w:rFonts w:hint="eastAsia" w:ascii="Times New Roman" w:hAnsi="Times New Roman" w:eastAsia="仿宋_GB2312" w:cs="仿宋_GB2312"/>
          <w:b/>
          <w:bCs/>
          <w:kern w:val="0"/>
          <w:sz w:val="32"/>
          <w:szCs w:val="32"/>
          <w:lang w:bidi="ar"/>
        </w:rPr>
        <w:t>激活智电转型</w:t>
      </w:r>
      <w:r>
        <w:rPr>
          <w:rFonts w:hint="eastAsia" w:ascii="Times New Roman" w:hAnsi="Times New Roman" w:eastAsia="仿宋_GB2312" w:cs="仿宋_GB2312"/>
          <w:b/>
          <w:bCs/>
          <w:kern w:val="0"/>
          <w:sz w:val="32"/>
          <w:szCs w:val="32"/>
          <w:lang w:eastAsia="zh-CN" w:bidi="ar"/>
        </w:rPr>
        <w:t>“</w:t>
      </w:r>
      <w:r>
        <w:rPr>
          <w:rFonts w:hint="eastAsia" w:ascii="Times New Roman" w:hAnsi="Times New Roman" w:eastAsia="仿宋_GB2312" w:cs="仿宋_GB2312"/>
          <w:b/>
          <w:bCs/>
          <w:kern w:val="0"/>
          <w:sz w:val="32"/>
          <w:szCs w:val="32"/>
          <w:lang w:bidi="ar"/>
        </w:rPr>
        <w:t>新引擎</w:t>
      </w:r>
      <w:r>
        <w:rPr>
          <w:rFonts w:hint="eastAsia" w:ascii="Times New Roman" w:hAnsi="Times New Roman" w:eastAsia="仿宋_GB2312" w:cs="仿宋_GB2312"/>
          <w:b/>
          <w:bCs/>
          <w:kern w:val="0"/>
          <w:sz w:val="32"/>
          <w:szCs w:val="32"/>
          <w:lang w:eastAsia="zh-CN" w:bidi="ar"/>
        </w:rPr>
        <w:t>”</w:t>
      </w:r>
      <w:r>
        <w:rPr>
          <w:rFonts w:hint="eastAsia" w:ascii="Times New Roman" w:hAnsi="Times New Roman" w:eastAsia="仿宋_GB2312" w:cs="仿宋_GB2312"/>
          <w:b/>
          <w:bCs/>
          <w:kern w:val="0"/>
          <w:sz w:val="32"/>
          <w:szCs w:val="32"/>
          <w:lang w:bidi="ar"/>
        </w:rPr>
        <w:t>。</w:t>
      </w:r>
      <w:r>
        <w:rPr>
          <w:rFonts w:hint="eastAsia" w:ascii="Times New Roman" w:hAnsi="Times New Roman" w:eastAsia="仿宋_GB2312" w:cs="仿宋_GB2312"/>
          <w:kern w:val="0"/>
          <w:sz w:val="32"/>
          <w:szCs w:val="32"/>
          <w:lang w:bidi="ar"/>
        </w:rPr>
        <w:t>面对电动化、智能化变革，上汽通用探索出</w:t>
      </w:r>
      <w:r>
        <w:rPr>
          <w:rFonts w:hint="eastAsia" w:ascii="Times New Roman" w:hAnsi="Times New Roman" w:eastAsia="仿宋_GB2312" w:cs="仿宋_GB2312"/>
          <w:kern w:val="0"/>
          <w:sz w:val="32"/>
          <w:szCs w:val="32"/>
          <w:lang w:eastAsia="zh-CN" w:bidi="ar"/>
        </w:rPr>
        <w:t>“</w:t>
      </w:r>
      <w:r>
        <w:rPr>
          <w:rFonts w:hint="eastAsia" w:ascii="Times New Roman" w:hAnsi="Times New Roman" w:eastAsia="仿宋_GB2312" w:cs="仿宋_GB2312"/>
          <w:kern w:val="0"/>
          <w:sz w:val="32"/>
          <w:szCs w:val="32"/>
          <w:lang w:bidi="ar"/>
        </w:rPr>
        <w:t>至境模式</w:t>
      </w:r>
      <w:r>
        <w:rPr>
          <w:rFonts w:hint="eastAsia" w:ascii="Times New Roman" w:hAnsi="Times New Roman" w:eastAsia="仿宋_GB2312" w:cs="仿宋_GB2312"/>
          <w:kern w:val="0"/>
          <w:sz w:val="32"/>
          <w:szCs w:val="32"/>
          <w:lang w:eastAsia="zh-CN" w:bidi="ar"/>
        </w:rPr>
        <w:t>”</w:t>
      </w:r>
      <w:r>
        <w:rPr>
          <w:rFonts w:hint="eastAsia" w:ascii="Times New Roman" w:hAnsi="Times New Roman" w:eastAsia="仿宋_GB2312" w:cs="仿宋_GB2312"/>
          <w:kern w:val="0"/>
          <w:sz w:val="32"/>
          <w:szCs w:val="32"/>
          <w:lang w:bidi="ar"/>
        </w:rPr>
        <w:t>转型路径——全球技术积淀与本土极致创新深度融合。2025年推出合资车企首个中国团队主导研发的</w:t>
      </w:r>
      <w:r>
        <w:rPr>
          <w:rFonts w:hint="eastAsia" w:ascii="Times New Roman" w:hAnsi="Times New Roman" w:eastAsia="仿宋_GB2312" w:cs="仿宋_GB2312"/>
          <w:kern w:val="0"/>
          <w:sz w:val="32"/>
          <w:szCs w:val="32"/>
          <w:lang w:eastAsia="zh-CN" w:bidi="ar"/>
        </w:rPr>
        <w:t>“</w:t>
      </w:r>
      <w:r>
        <w:rPr>
          <w:rFonts w:hint="eastAsia" w:ascii="Times New Roman" w:hAnsi="Times New Roman" w:eastAsia="仿宋_GB2312" w:cs="仿宋_GB2312"/>
          <w:kern w:val="0"/>
          <w:sz w:val="32"/>
          <w:szCs w:val="32"/>
          <w:lang w:bidi="ar"/>
        </w:rPr>
        <w:t>逍遥超级融合架构</w:t>
      </w:r>
      <w:r>
        <w:rPr>
          <w:rFonts w:hint="eastAsia" w:ascii="Times New Roman" w:hAnsi="Times New Roman" w:eastAsia="仿宋_GB2312" w:cs="仿宋_GB2312"/>
          <w:kern w:val="0"/>
          <w:sz w:val="32"/>
          <w:szCs w:val="32"/>
          <w:lang w:eastAsia="zh-CN" w:bidi="ar"/>
        </w:rPr>
        <w:t>”</w:t>
      </w:r>
      <w:r>
        <w:rPr>
          <w:rFonts w:hint="eastAsia" w:ascii="Times New Roman" w:hAnsi="Times New Roman" w:eastAsia="仿宋_GB2312" w:cs="仿宋_GB2312"/>
          <w:kern w:val="0"/>
          <w:sz w:val="32"/>
          <w:szCs w:val="32"/>
          <w:lang w:bidi="ar"/>
        </w:rPr>
        <w:t>，完成纯电、插混、增程全技术布局；推出别克高端新能源子品牌</w:t>
      </w:r>
      <w:r>
        <w:rPr>
          <w:rFonts w:hint="eastAsia" w:ascii="Times New Roman" w:hAnsi="Times New Roman" w:eastAsia="仿宋_GB2312" w:cs="仿宋_GB2312"/>
          <w:kern w:val="0"/>
          <w:sz w:val="32"/>
          <w:szCs w:val="32"/>
          <w:lang w:eastAsia="zh-CN" w:bidi="ar"/>
        </w:rPr>
        <w:t>“</w:t>
      </w:r>
      <w:r>
        <w:rPr>
          <w:rFonts w:hint="eastAsia" w:ascii="Times New Roman" w:hAnsi="Times New Roman" w:eastAsia="仿宋_GB2312" w:cs="仿宋_GB2312"/>
          <w:kern w:val="0"/>
          <w:sz w:val="32"/>
          <w:szCs w:val="32"/>
          <w:lang w:bidi="ar"/>
        </w:rPr>
        <w:t>别克至境</w:t>
      </w:r>
      <w:r>
        <w:rPr>
          <w:rFonts w:hint="eastAsia" w:ascii="Times New Roman" w:hAnsi="Times New Roman" w:eastAsia="仿宋_GB2312" w:cs="仿宋_GB2312"/>
          <w:kern w:val="0"/>
          <w:sz w:val="32"/>
          <w:szCs w:val="32"/>
          <w:lang w:eastAsia="zh-CN" w:bidi="ar"/>
        </w:rPr>
        <w:t>”</w:t>
      </w:r>
      <w:r>
        <w:rPr>
          <w:rFonts w:hint="eastAsia" w:ascii="Times New Roman" w:hAnsi="Times New Roman" w:eastAsia="仿宋_GB2312" w:cs="仿宋_GB2312"/>
          <w:kern w:val="0"/>
          <w:sz w:val="32"/>
          <w:szCs w:val="32"/>
          <w:lang w:bidi="ar"/>
        </w:rPr>
        <w:t>，一年内形成全品类产品阵容。别克至境E7创合资新能源最快交付破万纪录，至境世家登顶2026年上半年中国40万以上豪华新能源MPV销量冠军。规划至2030年推出至少30款新能源车型。</w:t>
      </w:r>
    </w:p>
    <w:p w14:paraId="6B66191A">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kern w:val="0"/>
          <w:sz w:val="32"/>
          <w:szCs w:val="32"/>
          <w:lang w:eastAsia="zh-CN" w:bidi="ar"/>
        </w:rPr>
      </w:pPr>
      <w:r>
        <w:rPr>
          <w:rFonts w:hint="eastAsia" w:ascii="Times New Roman" w:hAnsi="Times New Roman" w:eastAsia="仿宋_GB2312" w:cs="仿宋_GB2312"/>
          <w:b/>
          <w:bCs/>
          <w:kern w:val="0"/>
          <w:sz w:val="32"/>
          <w:szCs w:val="32"/>
          <w:lang w:bidi="ar"/>
        </w:rPr>
        <w:t>开辟全球化发展</w:t>
      </w:r>
      <w:r>
        <w:rPr>
          <w:rFonts w:hint="eastAsia" w:ascii="Times New Roman" w:hAnsi="Times New Roman" w:eastAsia="仿宋_GB2312" w:cs="仿宋_GB2312"/>
          <w:b/>
          <w:bCs/>
          <w:kern w:val="0"/>
          <w:sz w:val="32"/>
          <w:szCs w:val="32"/>
          <w:lang w:eastAsia="zh-CN" w:bidi="ar"/>
        </w:rPr>
        <w:t>“</w:t>
      </w:r>
      <w:r>
        <w:rPr>
          <w:rFonts w:hint="eastAsia" w:ascii="Times New Roman" w:hAnsi="Times New Roman" w:eastAsia="仿宋_GB2312" w:cs="仿宋_GB2312"/>
          <w:b/>
          <w:bCs/>
          <w:kern w:val="0"/>
          <w:sz w:val="32"/>
          <w:szCs w:val="32"/>
          <w:lang w:bidi="ar"/>
        </w:rPr>
        <w:t>新航道</w:t>
      </w:r>
      <w:r>
        <w:rPr>
          <w:rFonts w:hint="eastAsia" w:ascii="Times New Roman" w:hAnsi="Times New Roman" w:eastAsia="仿宋_GB2312" w:cs="仿宋_GB2312"/>
          <w:b/>
          <w:bCs/>
          <w:kern w:val="0"/>
          <w:sz w:val="32"/>
          <w:szCs w:val="32"/>
          <w:lang w:eastAsia="zh-CN" w:bidi="ar"/>
        </w:rPr>
        <w:t>”</w:t>
      </w:r>
      <w:r>
        <w:rPr>
          <w:rFonts w:hint="eastAsia" w:ascii="Times New Roman" w:hAnsi="Times New Roman" w:eastAsia="仿宋_GB2312" w:cs="仿宋_GB2312"/>
          <w:b/>
          <w:bCs/>
          <w:kern w:val="0"/>
          <w:sz w:val="32"/>
          <w:szCs w:val="32"/>
          <w:lang w:bidi="ar"/>
        </w:rPr>
        <w:t>。</w:t>
      </w:r>
      <w:r>
        <w:rPr>
          <w:rFonts w:hint="eastAsia" w:ascii="Times New Roman" w:hAnsi="Times New Roman" w:eastAsia="仿宋_GB2312" w:cs="仿宋_GB2312"/>
          <w:kern w:val="0"/>
          <w:sz w:val="32"/>
          <w:szCs w:val="32"/>
          <w:lang w:bidi="ar"/>
        </w:rPr>
        <w:t>此次续约进一步打开全球化空间。依托</w:t>
      </w:r>
      <w:r>
        <w:rPr>
          <w:rFonts w:hint="eastAsia" w:ascii="Times New Roman" w:hAnsi="Times New Roman" w:eastAsia="仿宋_GB2312" w:cs="仿宋_GB2312"/>
          <w:kern w:val="0"/>
          <w:sz w:val="32"/>
          <w:szCs w:val="32"/>
          <w:lang w:eastAsia="zh-CN" w:bidi="ar"/>
        </w:rPr>
        <w:t>“</w:t>
      </w:r>
      <w:r>
        <w:rPr>
          <w:rFonts w:hint="eastAsia" w:ascii="Times New Roman" w:hAnsi="Times New Roman" w:eastAsia="仿宋_GB2312" w:cs="仿宋_GB2312"/>
          <w:kern w:val="0"/>
          <w:sz w:val="32"/>
          <w:szCs w:val="32"/>
          <w:lang w:bidi="ar"/>
        </w:rPr>
        <w:t>至境模式</w:t>
      </w:r>
      <w:r>
        <w:rPr>
          <w:rFonts w:hint="eastAsia" w:ascii="Times New Roman" w:hAnsi="Times New Roman" w:eastAsia="仿宋_GB2312" w:cs="仿宋_GB2312"/>
          <w:kern w:val="0"/>
          <w:sz w:val="32"/>
          <w:szCs w:val="32"/>
          <w:lang w:eastAsia="zh-CN" w:bidi="ar"/>
        </w:rPr>
        <w:t>”</w:t>
      </w:r>
      <w:r>
        <w:rPr>
          <w:rFonts w:hint="eastAsia" w:ascii="Times New Roman" w:hAnsi="Times New Roman" w:eastAsia="仿宋_GB2312" w:cs="仿宋_GB2312"/>
          <w:kern w:val="0"/>
          <w:sz w:val="32"/>
          <w:szCs w:val="32"/>
          <w:lang w:bidi="ar"/>
        </w:rPr>
        <w:t>，公司将加速新能源出海业务投入，发挥中国在用户洞察、技术创新、智能制造和产业链效率等方面的优势，推动中国定义、中国研发、中国制造的产品走向全球。别克至境E7将于今年10月出口海外，成为别克品牌首款出海高端新能源车型，后续将持续开拓中东、非洲、南美、墨西哥及亚太市场，为跨国车企提供</w:t>
      </w:r>
      <w:r>
        <w:rPr>
          <w:rFonts w:hint="eastAsia" w:ascii="Times New Roman" w:hAnsi="Times New Roman" w:eastAsia="仿宋_GB2312" w:cs="仿宋_GB2312"/>
          <w:kern w:val="0"/>
          <w:sz w:val="32"/>
          <w:szCs w:val="32"/>
          <w:lang w:eastAsia="zh-CN" w:bidi="ar"/>
        </w:rPr>
        <w:t>“</w:t>
      </w:r>
      <w:r>
        <w:rPr>
          <w:rFonts w:hint="eastAsia" w:ascii="Times New Roman" w:hAnsi="Times New Roman" w:eastAsia="仿宋_GB2312" w:cs="仿宋_GB2312"/>
          <w:kern w:val="0"/>
          <w:sz w:val="32"/>
          <w:szCs w:val="32"/>
          <w:lang w:bidi="ar"/>
        </w:rPr>
        <w:t>本土创新、全球共享</w:t>
      </w:r>
      <w:r>
        <w:rPr>
          <w:rFonts w:hint="eastAsia" w:ascii="Times New Roman" w:hAnsi="Times New Roman" w:eastAsia="仿宋_GB2312" w:cs="仿宋_GB2312"/>
          <w:kern w:val="0"/>
          <w:sz w:val="32"/>
          <w:szCs w:val="32"/>
          <w:lang w:eastAsia="zh-CN" w:bidi="ar"/>
        </w:rPr>
        <w:t>”</w:t>
      </w:r>
      <w:r>
        <w:rPr>
          <w:rFonts w:hint="eastAsia" w:ascii="Times New Roman" w:hAnsi="Times New Roman" w:eastAsia="仿宋_GB2312" w:cs="仿宋_GB2312"/>
          <w:kern w:val="0"/>
          <w:sz w:val="32"/>
          <w:szCs w:val="32"/>
          <w:lang w:bidi="ar"/>
        </w:rPr>
        <w:t>的合资出海新模式。</w:t>
      </w:r>
      <w:r>
        <w:rPr>
          <w:rFonts w:hint="eastAsia" w:ascii="Times New Roman" w:hAnsi="Times New Roman" w:eastAsia="仿宋_GB2312" w:cs="仿宋_GB2312"/>
          <w:kern w:val="0"/>
          <w:sz w:val="32"/>
          <w:szCs w:val="32"/>
          <w:lang w:eastAsia="zh-CN" w:bidi="ar"/>
        </w:rPr>
        <w:t>（上汽集团）</w:t>
      </w:r>
    </w:p>
    <w:p w14:paraId="224168F4">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left"/>
        <w:textAlignment w:val="auto"/>
        <w:rPr>
          <w:rFonts w:hint="default" w:ascii="Times New Roman" w:hAnsi="Times New Roman" w:eastAsia="华文中宋" w:cs="华文中宋"/>
          <w:b w:val="0"/>
          <w:bCs/>
          <w:i w:val="0"/>
          <w:caps w:val="0"/>
          <w:spacing w:val="0"/>
          <w:kern w:val="44"/>
          <w:sz w:val="36"/>
          <w:szCs w:val="36"/>
          <w:shd w:val="clear" w:fill="FFFFFF"/>
          <w:lang w:val="en-US" w:eastAsia="zh-CN" w:bidi="ar"/>
        </w:rPr>
      </w:pPr>
    </w:p>
    <w:p w14:paraId="30A75760">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default" w:ascii="Times New Roman" w:hAnsi="Times New Roman" w:eastAsia="华文中宋" w:cs="华文中宋"/>
          <w:b w:val="0"/>
          <w:bCs/>
          <w:i w:val="0"/>
          <w:caps w:val="0"/>
          <w:spacing w:val="0"/>
          <w:kern w:val="44"/>
          <w:sz w:val="36"/>
          <w:szCs w:val="36"/>
          <w:shd w:val="clear" w:fill="FFFFFF"/>
          <w:lang w:val="en-US" w:eastAsia="zh-CN" w:bidi="ar"/>
        </w:rPr>
      </w:pPr>
      <w:r>
        <w:rPr>
          <w:rFonts w:hint="default" w:ascii="Times New Roman" w:hAnsi="Times New Roman" w:eastAsia="华文中宋" w:cs="华文中宋"/>
          <w:b w:val="0"/>
          <w:bCs/>
          <w:i w:val="0"/>
          <w:caps w:val="0"/>
          <w:spacing w:val="0"/>
          <w:kern w:val="44"/>
          <w:sz w:val="36"/>
          <w:szCs w:val="36"/>
          <w:shd w:val="clear" w:fill="FFFFFF"/>
          <w:lang w:val="en-US" w:eastAsia="zh-CN" w:bidi="ar"/>
        </w:rPr>
        <w:t>上港集团上半年经营业绩亮眼</w:t>
      </w:r>
    </w:p>
    <w:p w14:paraId="012B1CB6">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default" w:ascii="Times New Roman" w:hAnsi="Times New Roman" w:eastAsia="华文中宋" w:cs="华文中宋"/>
          <w:b w:val="0"/>
          <w:bCs/>
          <w:i w:val="0"/>
          <w:caps w:val="0"/>
          <w:spacing w:val="0"/>
          <w:kern w:val="44"/>
          <w:sz w:val="36"/>
          <w:szCs w:val="36"/>
          <w:shd w:val="clear" w:fill="FFFFFF"/>
          <w:lang w:val="en-US" w:eastAsia="zh-CN" w:bidi="ar"/>
        </w:rPr>
      </w:pPr>
      <w:r>
        <w:rPr>
          <w:rFonts w:hint="default" w:ascii="Times New Roman" w:hAnsi="Times New Roman" w:eastAsia="华文中宋" w:cs="华文中宋"/>
          <w:b w:val="0"/>
          <w:bCs/>
          <w:i w:val="0"/>
          <w:caps w:val="0"/>
          <w:spacing w:val="0"/>
          <w:kern w:val="44"/>
          <w:sz w:val="36"/>
          <w:szCs w:val="36"/>
          <w:shd w:val="clear" w:fill="FFFFFF"/>
          <w:lang w:val="en-US" w:eastAsia="zh-CN" w:bidi="ar"/>
        </w:rPr>
        <w:t>强韧定力稳增长</w:t>
      </w:r>
    </w:p>
    <w:p w14:paraId="02DD930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作为全球第一大集装箱港的运营主体，在全球港口竞争加剧、外部不确定性仍存的背景下，上港集团2026年上半年交出一份</w:t>
      </w:r>
      <w:r>
        <w:rPr>
          <w:rFonts w:hint="eastAsia" w:ascii="Times New Roman" w:hAnsi="Times New Roman" w:eastAsia="仿宋_GB2312" w:cs="仿宋_GB2312"/>
          <w:b w:val="0"/>
          <w:bCs w:val="0"/>
          <w:spacing w:val="0"/>
          <w:sz w:val="32"/>
          <w:szCs w:val="32"/>
          <w:lang w:val="en-US" w:eastAsia="zh-CN"/>
        </w:rPr>
        <w:t>亮眼成绩单。上半年，上港集团预计累计完成母港集装箱吞吐量2873.7万TEU（标准箱），同比增长6.2%，预计累计完成母港货物吞吐量30478.0万吨，同比增长2.7%。</w:t>
      </w:r>
    </w:p>
    <w:p w14:paraId="4A2E721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绿色赛道落子，“沪产 沪储 沪加”闭环成型。</w:t>
      </w:r>
      <w:r>
        <w:rPr>
          <w:rFonts w:hint="eastAsia" w:ascii="Times New Roman" w:hAnsi="Times New Roman" w:eastAsia="仿宋_GB2312" w:cs="仿宋_GB2312"/>
          <w:b w:val="0"/>
          <w:bCs w:val="0"/>
          <w:sz w:val="32"/>
          <w:szCs w:val="32"/>
          <w:lang w:val="en-US" w:eastAsia="zh-CN"/>
        </w:rPr>
        <w:t>绿色燃料加注统筹布局是上港集团提质增效新优势、绿色转型“新赛道”。在上海国际航运绿色燃料加注中心建设框架内，上港集团能源公司旗下甲醇加注船“海港致远”轮，成功为EUKOR滚装航运公司首制甲醇双燃料汽车运输船“Arctic Tern”（北极燕鸥）轮完成2824吨上海本地产绿色甲醇“船-船”同步加注作业。这次加注包含“三个关键词”：沪产，绿色甲醇原料来自上海本地产业化供给；沪储，仓储环节纳入上海自有配套体系；沪加，加注作业由上海港自有加注船完成。“产-储-加”全链条在上海闭环，意味着上海港成为绿色航运燃料供应链上的关键节点，这也是上海本地绿色甲醇首次批量加注国际头部滚装航运企业，被视为全球航运脱碳转型中可复制、可推广的“上海模式”。</w:t>
      </w:r>
    </w:p>
    <w:p w14:paraId="69C6140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硬件底盘持续夯实，小洋北、罗泾二期接力向上。</w:t>
      </w:r>
      <w:r>
        <w:rPr>
          <w:rFonts w:hint="eastAsia" w:ascii="Times New Roman" w:hAnsi="Times New Roman" w:eastAsia="仿宋_GB2312" w:cs="仿宋_GB2312"/>
          <w:b w:val="0"/>
          <w:bCs w:val="0"/>
          <w:sz w:val="32"/>
          <w:szCs w:val="32"/>
          <w:lang w:val="en-US" w:eastAsia="zh-CN"/>
        </w:rPr>
        <w:t>小洋山北侧作业区作为上海港未来产能释放的关键增量，其定位不仅是集装箱码头，更是上海国际航运中心向深远海延伸的战略支点。项目建成后，将与现有洋山港区形成功能互补，进一步提升上海港在长三角乃至东北亚的枢纽吸附力。罗泾一期已完成从传统散杂货向自动化集装箱码头的转身，罗泾集装箱码头改造二期亦在紧锣密鼓推进中，二期延续“智能化+绿色化”的技术路线，进一步释放黄浦江口这一节点的集疏运潜力。上港集团对小洋北和罗泾二期的同步推进，聚焦近洋与内贸的高效流转，将让上海港的产能后劲更上一个新台阶。</w:t>
      </w:r>
    </w:p>
    <w:p w14:paraId="7A24C37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下阶段，上港集团将继续秉持“全港一盘棋、全域一体化”的思路，以顶尖运营实力持续领跑全球集装箱港口发展，为上海国际航运中心建设进一步提供坚实硬核支撑。（上港集团）</w:t>
      </w:r>
    </w:p>
    <w:p w14:paraId="22E942F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p>
    <w:p w14:paraId="1004497C">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default" w:ascii="Times New Roman" w:hAnsi="Times New Roman" w:eastAsia="华文中宋" w:cs="华文中宋"/>
          <w:b w:val="0"/>
          <w:bCs/>
          <w:i w:val="0"/>
          <w:caps w:val="0"/>
          <w:spacing w:val="0"/>
          <w:kern w:val="44"/>
          <w:sz w:val="36"/>
          <w:szCs w:val="36"/>
          <w:shd w:val="clear" w:fill="FFFFFF"/>
          <w:lang w:val="en-US" w:eastAsia="zh-CN" w:bidi="ar"/>
        </w:rPr>
        <w:t>申迪集团推进</w:t>
      </w:r>
      <w:r>
        <w:rPr>
          <w:rFonts w:hint="eastAsia" w:ascii="Times New Roman" w:hAnsi="Times New Roman" w:eastAsia="华文中宋" w:cs="华文中宋"/>
          <w:b w:val="0"/>
          <w:bCs/>
          <w:i w:val="0"/>
          <w:caps w:val="0"/>
          <w:spacing w:val="0"/>
          <w:kern w:val="44"/>
          <w:sz w:val="36"/>
          <w:szCs w:val="36"/>
          <w:shd w:val="clear" w:fill="FFFFFF"/>
          <w:lang w:val="en-US" w:eastAsia="zh-CN" w:bidi="ar"/>
        </w:rPr>
        <w:t>“</w:t>
      </w:r>
      <w:r>
        <w:rPr>
          <w:rFonts w:hint="default" w:ascii="Times New Roman" w:hAnsi="Times New Roman" w:eastAsia="华文中宋" w:cs="华文中宋"/>
          <w:b w:val="0"/>
          <w:bCs/>
          <w:i w:val="0"/>
          <w:caps w:val="0"/>
          <w:spacing w:val="0"/>
          <w:kern w:val="44"/>
          <w:sz w:val="36"/>
          <w:szCs w:val="36"/>
          <w:shd w:val="clear" w:fill="FFFFFF"/>
          <w:lang w:val="en-US" w:eastAsia="zh-CN" w:bidi="ar"/>
        </w:rPr>
        <w:t>三个跨越</w:t>
      </w:r>
      <w:r>
        <w:rPr>
          <w:rFonts w:hint="eastAsia" w:ascii="Times New Roman" w:hAnsi="Times New Roman" w:eastAsia="华文中宋" w:cs="华文中宋"/>
          <w:b w:val="0"/>
          <w:bCs/>
          <w:i w:val="0"/>
          <w:caps w:val="0"/>
          <w:spacing w:val="0"/>
          <w:kern w:val="44"/>
          <w:sz w:val="36"/>
          <w:szCs w:val="36"/>
          <w:shd w:val="clear" w:fill="FFFFFF"/>
          <w:lang w:val="en-US" w:eastAsia="zh-CN" w:bidi="ar"/>
        </w:rPr>
        <w:t>”</w:t>
      </w:r>
    </w:p>
    <w:p w14:paraId="6F4783DF">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default" w:ascii="Times New Roman" w:hAnsi="Times New Roman" w:eastAsia="华文中宋" w:cs="华文中宋"/>
          <w:b w:val="0"/>
          <w:bCs/>
          <w:i w:val="0"/>
          <w:caps w:val="0"/>
          <w:spacing w:val="0"/>
          <w:kern w:val="44"/>
          <w:sz w:val="36"/>
          <w:szCs w:val="36"/>
          <w:shd w:val="clear" w:fill="FFFFFF"/>
          <w:lang w:val="en-US" w:eastAsia="zh-CN" w:bidi="ar"/>
        </w:rPr>
      </w:pPr>
      <w:r>
        <w:rPr>
          <w:rFonts w:hint="default" w:ascii="Times New Roman" w:hAnsi="Times New Roman" w:eastAsia="华文中宋" w:cs="华文中宋"/>
          <w:b w:val="0"/>
          <w:bCs/>
          <w:i w:val="0"/>
          <w:caps w:val="0"/>
          <w:spacing w:val="0"/>
          <w:kern w:val="44"/>
          <w:sz w:val="36"/>
          <w:szCs w:val="36"/>
          <w:shd w:val="clear" w:fill="FFFFFF"/>
          <w:lang w:val="en-US" w:eastAsia="zh-CN" w:bidi="ar"/>
        </w:rPr>
        <w:t>打造世界级多日旅游目的地</w:t>
      </w:r>
    </w:p>
    <w:p w14:paraId="5351D78E">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站在上海迪士尼项目和国际旅游度假区开放运营十周年新起点上，申迪集团以深化</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从合作履约到双向赋能、从景点经济到多日经济、从功能驱动到市场驱动</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三个跨越”为主线，持续放大世界级文旅IP综合带动效应，推动文商旅体展深度融合发展，更好服务上海世界著名旅游城市和国际消费中心城市建设。</w:t>
      </w:r>
    </w:p>
    <w:p w14:paraId="0EE69C7F">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坚持守正创新，以双向赋能提升合作价值。</w:t>
      </w:r>
      <w:r>
        <w:rPr>
          <w:rFonts w:hint="eastAsia" w:ascii="Times New Roman" w:hAnsi="Times New Roman" w:eastAsia="仿宋_GB2312" w:cs="仿宋_GB2312"/>
          <w:b w:val="0"/>
          <w:bCs w:val="0"/>
          <w:sz w:val="32"/>
          <w:szCs w:val="32"/>
        </w:rPr>
        <w:t>强化主动赋能和资源整合意识，</w:t>
      </w:r>
      <w:r>
        <w:rPr>
          <w:rFonts w:hint="eastAsia" w:ascii="Times New Roman" w:hAnsi="Times New Roman" w:eastAsia="仿宋_GB2312" w:cs="仿宋_GB2312"/>
          <w:sz w:val="32"/>
          <w:szCs w:val="32"/>
        </w:rPr>
        <w:t>把合作优势转化为发展优势，既当好国际合作项目的</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本地向导”，推动迪士尼故事讲述与中华优秀传统文化、海派文化深度融合，形成</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原汁原味迪士尼、别具一格中国风”的创新实践；又</w:t>
      </w:r>
      <w:r>
        <w:rPr>
          <w:rFonts w:hint="eastAsia" w:ascii="Times New Roman" w:hAnsi="Times New Roman" w:eastAsia="仿宋_GB2312" w:cs="仿宋_GB2312"/>
          <w:sz w:val="32"/>
          <w:szCs w:val="32"/>
          <w:lang w:val="en-US" w:eastAsia="zh-CN"/>
        </w:rPr>
        <w:t>充分发挥合作平台优势和专业能力，主动对接上海旅游节、“上海之夏”等全市重大活动，推动品牌联动、流量互导，促进文商旅体展资源协同。</w:t>
      </w:r>
      <w:r>
        <w:rPr>
          <w:rFonts w:hint="eastAsia" w:ascii="Times New Roman" w:hAnsi="Times New Roman" w:eastAsia="仿宋_GB2312" w:cs="仿宋_GB2312"/>
          <w:sz w:val="32"/>
          <w:szCs w:val="32"/>
        </w:rPr>
        <w:t>同时，坚持</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建不完的迪士尼”理念，持续推进主题园区、主题酒店、迪士尼小镇等扩建更新，推动世界级文旅IP持续释放吸引力。</w:t>
      </w:r>
    </w:p>
    <w:p w14:paraId="176E38EF">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坚持提质增效，以</w:t>
      </w:r>
      <w:r>
        <w:rPr>
          <w:rFonts w:hint="eastAsia" w:ascii="Times New Roman" w:hAnsi="Times New Roman" w:eastAsia="仿宋_GB2312" w:cs="仿宋_GB2312"/>
          <w:b/>
          <w:bCs/>
          <w:sz w:val="32"/>
          <w:szCs w:val="32"/>
          <w:lang w:val="en-US" w:eastAsia="zh-CN"/>
        </w:rPr>
        <w:t>品质升级激发市场活力</w:t>
      </w:r>
      <w:r>
        <w:rPr>
          <w:rFonts w:hint="eastAsia" w:ascii="Times New Roman" w:hAnsi="Times New Roman" w:eastAsia="仿宋_GB2312" w:cs="仿宋_GB2312"/>
          <w:b/>
          <w:bCs/>
          <w:sz w:val="32"/>
          <w:szCs w:val="32"/>
        </w:rPr>
        <w:t>。</w:t>
      </w:r>
      <w:r>
        <w:rPr>
          <w:rFonts w:hint="eastAsia" w:ascii="Times New Roman" w:hAnsi="Times New Roman" w:eastAsia="仿宋_GB2312" w:cs="仿宋_GB2312"/>
          <w:sz w:val="32"/>
          <w:szCs w:val="32"/>
        </w:rPr>
        <w:t>围绕建设世界一流野生动物主题度假区目标，申迪集团加快推进上海野生动物园提质增效，推进从</w:t>
      </w:r>
      <w:r>
        <w:rPr>
          <w:rFonts w:hint="eastAsia" w:ascii="Times New Roman" w:hAnsi="Times New Roman" w:eastAsia="仿宋_GB2312" w:cs="仿宋_GB2312"/>
          <w:sz w:val="32"/>
          <w:szCs w:val="32"/>
          <w:lang w:val="en-US" w:eastAsia="zh-CN"/>
        </w:rPr>
        <w:t>门票</w:t>
      </w:r>
      <w:r>
        <w:rPr>
          <w:rFonts w:hint="eastAsia" w:ascii="Times New Roman" w:hAnsi="Times New Roman" w:eastAsia="仿宋_GB2312" w:cs="仿宋_GB2312"/>
          <w:sz w:val="32"/>
          <w:szCs w:val="32"/>
        </w:rPr>
        <w:t>经济向度假经济跨越，着力打造上海城市文旅新名片。今年以来，全面焕新品牌体系，深入实施5S专项整治，大幅优化园区环境品质和服务体验，引进一批品牌化商业迭代升级配套服务。依托网红蜘蛛猴</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豆豆”等特色动物IP实现破圈传播，自主繁育的大熊猫龙凤胎展区持续释放引流效应，</w:t>
      </w:r>
      <w:r>
        <w:rPr>
          <w:rFonts w:hint="eastAsia" w:ascii="Times New Roman" w:hAnsi="Times New Roman" w:eastAsia="仿宋_GB2312" w:cs="仿宋_GB2312"/>
          <w:spacing w:val="-11"/>
          <w:sz w:val="32"/>
          <w:szCs w:val="32"/>
        </w:rPr>
        <w:t>加速落地树屋酒店等一批创新项目，持续丰富沉浸式文旅产品供给。</w:t>
      </w:r>
    </w:p>
    <w:p w14:paraId="2E6D868F">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坚持融合发展，以产业协同培育多日经济。</w:t>
      </w:r>
      <w:r>
        <w:rPr>
          <w:rFonts w:hint="eastAsia" w:ascii="Times New Roman" w:hAnsi="Times New Roman" w:eastAsia="仿宋_GB2312" w:cs="仿宋_GB2312"/>
          <w:sz w:val="32"/>
          <w:szCs w:val="32"/>
        </w:rPr>
        <w:t>在会同国际咨询公司LDP完成度假区整体策划基础上，以迪士尼项目为引擎，以市场需求为导向，推动度假区开发由功能配套向产业培育升级。今年以来，围绕</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1+8+3+X”项目推进目标，高品质运动休闲消费场景已投入运营</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WDI（迪士尼幻想工程）亚太创意数娱产业园项目已开工建设，更多</w:t>
      </w:r>
      <w:r>
        <w:rPr>
          <w:rFonts w:hint="eastAsia" w:ascii="Times New Roman" w:hAnsi="Times New Roman" w:eastAsia="仿宋_GB2312" w:cs="仿宋_GB2312"/>
          <w:sz w:val="32"/>
          <w:szCs w:val="32"/>
          <w:lang w:val="en-US" w:eastAsia="zh-CN"/>
        </w:rPr>
        <w:t>主题乐园和酒店、体育综合等</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文旅+”项目加快落地中，形成了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开工一批、建成一批、储备一批”的滚动开发格局，努力打造具有全球吸引力、产业竞争力和持续创新力的世界级多日旅游目的地。</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申迪集团</w:t>
      </w:r>
      <w:r>
        <w:rPr>
          <w:rFonts w:hint="eastAsia" w:ascii="Times New Roman" w:hAnsi="Times New Roman" w:eastAsia="仿宋_GB2312" w:cs="仿宋_GB2312"/>
          <w:sz w:val="32"/>
          <w:szCs w:val="32"/>
          <w:lang w:eastAsia="zh-CN"/>
        </w:rPr>
        <w:t>）</w:t>
      </w:r>
    </w:p>
    <w:p w14:paraId="44C8D54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p>
    <w:p w14:paraId="0CE88589">
      <w:pPr>
        <w:keepNext w:val="0"/>
        <w:keepLines w:val="0"/>
        <w:pageBreakBefore w:val="0"/>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上海地产集团下属地产虹桥以“四中心”</w:t>
      </w:r>
    </w:p>
    <w:p w14:paraId="6F95B830">
      <w:pPr>
        <w:keepNext w:val="0"/>
        <w:keepLines w:val="0"/>
        <w:pageBreakBefore w:val="0"/>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功能平台建设赋能区域发展</w:t>
      </w:r>
    </w:p>
    <w:p w14:paraId="0E89F36E">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上海地产集团下属地产虹桥作为虹桥国际中央商务区功能性国企平台，配合虹桥商务区管委会在持续深化“三中心”建设运营的基础上，加快推进虹桥科创服务中心落地，形成“四中心”联动格局。</w:t>
      </w:r>
      <w:bookmarkStart w:id="0" w:name="_GoBack"/>
      <w:bookmarkEnd w:id="0"/>
    </w:p>
    <w:p w14:paraId="65612192">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深入推进虹桥海外发展服务中心提质升级</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承接上海市企业走出去综合服务平台（虹桥）分平台功能，强化国别研究和出海指引，推出专项服务包，构建覆盖长三角的海外综合服务体系</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b/>
          <w:bCs/>
          <w:sz w:val="32"/>
          <w:szCs w:val="32"/>
        </w:rPr>
        <w:t>持续提升虹桥国际人才服务中心能级</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围绕国际化人才与人才的国际化需求提供一站式综合服务，深化人才服务内涵，推动从“广度覆盖”向“深度赋能”转型升级。</w:t>
      </w:r>
      <w:r>
        <w:rPr>
          <w:rFonts w:hint="eastAsia" w:ascii="Times New Roman" w:hAnsi="Times New Roman" w:eastAsia="仿宋_GB2312" w:cs="仿宋_GB2312"/>
          <w:b/>
          <w:bCs/>
          <w:sz w:val="32"/>
          <w:szCs w:val="32"/>
        </w:rPr>
        <w:t>不断拓展虹桥海外贸易中心功能</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放大进博会溢出效应，深化国际经济组织集聚区建设，加快推进空间拓展和服务创新，聚焦国际资源整合，形成入驻机构合力。</w:t>
      </w:r>
      <w:r>
        <w:rPr>
          <w:rFonts w:hint="eastAsia" w:ascii="Times New Roman" w:hAnsi="Times New Roman" w:eastAsia="仿宋_GB2312" w:cs="仿宋_GB2312"/>
          <w:b/>
          <w:bCs/>
          <w:sz w:val="32"/>
          <w:szCs w:val="32"/>
        </w:rPr>
        <w:t>加快推动虹桥科创服务中心提升服务能力</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围绕人工智能、生物医药、可持续新材料等新兴与未来产业，搭建覆盖技术研发、概念验证、成果转化、跨境合作的全链条科创支撑体系。</w:t>
      </w:r>
    </w:p>
    <w:p w14:paraId="7EE4C46D">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下一步，上海地产集团将紧扣“四中心”功能定位，配合虹桥商务区管委会持续提升服务能级，全力打造服务企业“走出去”先行区，将平台资源优势转化为经济发展增量，以高质量功能平台建设助推区域经济高质量发展。</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上海地产集团</w:t>
      </w:r>
      <w:r>
        <w:rPr>
          <w:rFonts w:hint="eastAsia" w:ascii="Times New Roman" w:hAnsi="Times New Roman" w:eastAsia="仿宋_GB2312" w:cs="仿宋_GB2312"/>
          <w:sz w:val="32"/>
          <w:szCs w:val="32"/>
          <w:lang w:eastAsia="zh-CN"/>
        </w:rPr>
        <w:t>）</w:t>
      </w:r>
    </w:p>
    <w:sectPr>
      <w:footerReference r:id="rId3" w:type="default"/>
      <w:pgSz w:w="11906" w:h="16838"/>
      <w:pgMar w:top="2041" w:right="1531" w:bottom="204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F0447F60-FEB9-4007-B5BB-67C42F58F8F5}"/>
  </w:font>
  <w:font w:name="方正舒体">
    <w:panose1 w:val="02010601030101010101"/>
    <w:charset w:val="86"/>
    <w:family w:val="auto"/>
    <w:pitch w:val="default"/>
    <w:sig w:usb0="00000003" w:usb1="080E0000" w:usb2="00000000" w:usb3="00000000" w:csb0="00040000" w:csb1="00000000"/>
    <w:embedRegular r:id="rId2" w:fontKey="{A39973E4-DB40-4CF1-8A73-381206829052}"/>
  </w:font>
  <w:font w:name="华文行楷">
    <w:panose1 w:val="02010800040101010101"/>
    <w:charset w:val="86"/>
    <w:family w:val="auto"/>
    <w:pitch w:val="default"/>
    <w:sig w:usb0="00000001" w:usb1="080F0000" w:usb2="00000000" w:usb3="00000000" w:csb0="00040000" w:csb1="00000000"/>
    <w:embedRegular r:id="rId3" w:fontKey="{9D77315C-E918-463B-AA91-815D5FF225D1}"/>
  </w:font>
  <w:font w:name="楷体_GB2312">
    <w:panose1 w:val="02010609030101010101"/>
    <w:charset w:val="86"/>
    <w:family w:val="modern"/>
    <w:pitch w:val="default"/>
    <w:sig w:usb0="00000001" w:usb1="080E0000" w:usb2="00000000" w:usb3="00000000" w:csb0="00040000" w:csb1="00000000"/>
    <w:embedRegular r:id="rId4" w:fontKey="{6FFB49E2-1650-47A6-8801-2EE362A44618}"/>
  </w:font>
  <w:font w:name="华文中宋">
    <w:panose1 w:val="02010600040101010101"/>
    <w:charset w:val="86"/>
    <w:family w:val="auto"/>
    <w:pitch w:val="default"/>
    <w:sig w:usb0="00000287" w:usb1="080F0000" w:usb2="00000000" w:usb3="00000000" w:csb0="0004009F" w:csb1="DFD70000"/>
    <w:embedRegular r:id="rId5" w:fontKey="{39A48E6B-4B09-416C-91A4-39033F3167D1}"/>
  </w:font>
  <w:font w:name="WPSEMBED2">
    <w:panose1 w:val="02010800040101010101"/>
    <w:charset w:val="86"/>
    <w:family w:val="auto"/>
    <w:pitch w:val="default"/>
    <w:sig w:usb0="00000001" w:usb1="080F0000" w:usb2="00000000" w:usb3="00000000" w:csb0="00040000" w:csb1="00000000"/>
  </w:font>
  <w:font w:name="WPSEMBED1">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F740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423C4">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6423C4">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B97D2F"/>
    <w:multiLevelType w:val="multilevel"/>
    <w:tmpl w:val="2CB97D2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5072"/>
    <w:rsid w:val="001113BD"/>
    <w:rsid w:val="002D3C4E"/>
    <w:rsid w:val="00327393"/>
    <w:rsid w:val="00360E24"/>
    <w:rsid w:val="00510B10"/>
    <w:rsid w:val="00734F6D"/>
    <w:rsid w:val="00C17F3A"/>
    <w:rsid w:val="00EB052C"/>
    <w:rsid w:val="013F17E5"/>
    <w:rsid w:val="016C71F3"/>
    <w:rsid w:val="01877580"/>
    <w:rsid w:val="0189664D"/>
    <w:rsid w:val="01A22C15"/>
    <w:rsid w:val="01F114A6"/>
    <w:rsid w:val="027658DD"/>
    <w:rsid w:val="028278F1"/>
    <w:rsid w:val="029A7D90"/>
    <w:rsid w:val="02DC4B81"/>
    <w:rsid w:val="02F86670"/>
    <w:rsid w:val="030663D5"/>
    <w:rsid w:val="031E1190"/>
    <w:rsid w:val="032F3900"/>
    <w:rsid w:val="03506B28"/>
    <w:rsid w:val="03546191"/>
    <w:rsid w:val="036839EA"/>
    <w:rsid w:val="03817CA8"/>
    <w:rsid w:val="038756CA"/>
    <w:rsid w:val="03A92467"/>
    <w:rsid w:val="03B5196C"/>
    <w:rsid w:val="03E348EC"/>
    <w:rsid w:val="042E0790"/>
    <w:rsid w:val="04377285"/>
    <w:rsid w:val="04770389"/>
    <w:rsid w:val="04861F72"/>
    <w:rsid w:val="04912ACD"/>
    <w:rsid w:val="049B219B"/>
    <w:rsid w:val="04AF1183"/>
    <w:rsid w:val="04BB33AF"/>
    <w:rsid w:val="04C9495C"/>
    <w:rsid w:val="04EB36D1"/>
    <w:rsid w:val="04F922D8"/>
    <w:rsid w:val="04FC0987"/>
    <w:rsid w:val="05135981"/>
    <w:rsid w:val="055406CA"/>
    <w:rsid w:val="057747FA"/>
    <w:rsid w:val="05D830A9"/>
    <w:rsid w:val="061A6B1D"/>
    <w:rsid w:val="06236B1C"/>
    <w:rsid w:val="06476169"/>
    <w:rsid w:val="06585F98"/>
    <w:rsid w:val="06593102"/>
    <w:rsid w:val="06904D60"/>
    <w:rsid w:val="06B44EBB"/>
    <w:rsid w:val="06C23411"/>
    <w:rsid w:val="06D27AF8"/>
    <w:rsid w:val="06E407F5"/>
    <w:rsid w:val="06E823F7"/>
    <w:rsid w:val="06EA7FED"/>
    <w:rsid w:val="074309F6"/>
    <w:rsid w:val="074D53D1"/>
    <w:rsid w:val="078B6E70"/>
    <w:rsid w:val="07A01F66"/>
    <w:rsid w:val="07BB7C23"/>
    <w:rsid w:val="07BD70D6"/>
    <w:rsid w:val="07EC127F"/>
    <w:rsid w:val="07F7156F"/>
    <w:rsid w:val="086417A9"/>
    <w:rsid w:val="087C7B01"/>
    <w:rsid w:val="089F4B7E"/>
    <w:rsid w:val="08DF4414"/>
    <w:rsid w:val="08FE2188"/>
    <w:rsid w:val="09AE72E5"/>
    <w:rsid w:val="09BF1E8A"/>
    <w:rsid w:val="09D40933"/>
    <w:rsid w:val="09FC5E0B"/>
    <w:rsid w:val="0A5F5B47"/>
    <w:rsid w:val="0A6F78B7"/>
    <w:rsid w:val="0A876E4C"/>
    <w:rsid w:val="0A913826"/>
    <w:rsid w:val="0A9B6453"/>
    <w:rsid w:val="0AB669EE"/>
    <w:rsid w:val="0AB94B2B"/>
    <w:rsid w:val="0ACE49E2"/>
    <w:rsid w:val="0AEF0A53"/>
    <w:rsid w:val="0B0126DC"/>
    <w:rsid w:val="0B0221AA"/>
    <w:rsid w:val="0B0A6214"/>
    <w:rsid w:val="0B1C6262"/>
    <w:rsid w:val="0B2428ED"/>
    <w:rsid w:val="0B370A42"/>
    <w:rsid w:val="0B3B57FD"/>
    <w:rsid w:val="0B611D50"/>
    <w:rsid w:val="0B73728A"/>
    <w:rsid w:val="0BC94856"/>
    <w:rsid w:val="0C2C7AF9"/>
    <w:rsid w:val="0C3002B5"/>
    <w:rsid w:val="0C4A717C"/>
    <w:rsid w:val="0C644B3C"/>
    <w:rsid w:val="0C6C6465"/>
    <w:rsid w:val="0C8A3029"/>
    <w:rsid w:val="0C9B1B99"/>
    <w:rsid w:val="0CA7474C"/>
    <w:rsid w:val="0CB206D4"/>
    <w:rsid w:val="0CDE6ACB"/>
    <w:rsid w:val="0D1A5D55"/>
    <w:rsid w:val="0D20553E"/>
    <w:rsid w:val="0D252196"/>
    <w:rsid w:val="0D605732"/>
    <w:rsid w:val="0D6D5B7A"/>
    <w:rsid w:val="0D7511DD"/>
    <w:rsid w:val="0D770F93"/>
    <w:rsid w:val="0D8B583B"/>
    <w:rsid w:val="0D8C6527"/>
    <w:rsid w:val="0D8F0F85"/>
    <w:rsid w:val="0D9B2C64"/>
    <w:rsid w:val="0DAB087B"/>
    <w:rsid w:val="0DD56120"/>
    <w:rsid w:val="0E197DBB"/>
    <w:rsid w:val="0E456E02"/>
    <w:rsid w:val="0E653000"/>
    <w:rsid w:val="0E880933"/>
    <w:rsid w:val="0F2268F0"/>
    <w:rsid w:val="0F564C2F"/>
    <w:rsid w:val="0FD7617F"/>
    <w:rsid w:val="103709CC"/>
    <w:rsid w:val="103D2D56"/>
    <w:rsid w:val="1054157E"/>
    <w:rsid w:val="108D2888"/>
    <w:rsid w:val="10B169D0"/>
    <w:rsid w:val="10D8779B"/>
    <w:rsid w:val="11342C8E"/>
    <w:rsid w:val="119333A6"/>
    <w:rsid w:val="119D61A1"/>
    <w:rsid w:val="11BE0EFC"/>
    <w:rsid w:val="11C326E3"/>
    <w:rsid w:val="11EE117E"/>
    <w:rsid w:val="124F7E3E"/>
    <w:rsid w:val="126A3748"/>
    <w:rsid w:val="129A71A6"/>
    <w:rsid w:val="12F50CAB"/>
    <w:rsid w:val="13274D28"/>
    <w:rsid w:val="132B63AE"/>
    <w:rsid w:val="134523ED"/>
    <w:rsid w:val="13640BA1"/>
    <w:rsid w:val="13833F28"/>
    <w:rsid w:val="13A55C08"/>
    <w:rsid w:val="13D179D6"/>
    <w:rsid w:val="13D54BBD"/>
    <w:rsid w:val="13D5750B"/>
    <w:rsid w:val="14415B49"/>
    <w:rsid w:val="145F2B82"/>
    <w:rsid w:val="14663EA8"/>
    <w:rsid w:val="14701DC1"/>
    <w:rsid w:val="14A23DD3"/>
    <w:rsid w:val="14CE54A9"/>
    <w:rsid w:val="14EF6EE8"/>
    <w:rsid w:val="14FC1AFD"/>
    <w:rsid w:val="14FC267E"/>
    <w:rsid w:val="151B6B0E"/>
    <w:rsid w:val="15325ACE"/>
    <w:rsid w:val="15386004"/>
    <w:rsid w:val="153B15FE"/>
    <w:rsid w:val="15491E75"/>
    <w:rsid w:val="15582931"/>
    <w:rsid w:val="158D3702"/>
    <w:rsid w:val="169564C9"/>
    <w:rsid w:val="16A13043"/>
    <w:rsid w:val="16C444E1"/>
    <w:rsid w:val="16E72946"/>
    <w:rsid w:val="16F947A3"/>
    <w:rsid w:val="17437AF2"/>
    <w:rsid w:val="174435F7"/>
    <w:rsid w:val="17536547"/>
    <w:rsid w:val="175F5A57"/>
    <w:rsid w:val="176D36C6"/>
    <w:rsid w:val="177E5132"/>
    <w:rsid w:val="179A60F6"/>
    <w:rsid w:val="17EE3682"/>
    <w:rsid w:val="18CE34D3"/>
    <w:rsid w:val="18CE5C46"/>
    <w:rsid w:val="18F648D4"/>
    <w:rsid w:val="18FA6A3B"/>
    <w:rsid w:val="192763CA"/>
    <w:rsid w:val="199C0963"/>
    <w:rsid w:val="19ED43C7"/>
    <w:rsid w:val="1A061820"/>
    <w:rsid w:val="1A1573E9"/>
    <w:rsid w:val="1A7208D9"/>
    <w:rsid w:val="1A907657"/>
    <w:rsid w:val="1AAE449B"/>
    <w:rsid w:val="1AB64BE3"/>
    <w:rsid w:val="1B19247D"/>
    <w:rsid w:val="1B1FCF3A"/>
    <w:rsid w:val="1B3721C8"/>
    <w:rsid w:val="1B39740C"/>
    <w:rsid w:val="1B486183"/>
    <w:rsid w:val="1B684130"/>
    <w:rsid w:val="1B927DD1"/>
    <w:rsid w:val="1BBC7A8D"/>
    <w:rsid w:val="1BCF2B71"/>
    <w:rsid w:val="1BF47218"/>
    <w:rsid w:val="1BF754B3"/>
    <w:rsid w:val="1C036557"/>
    <w:rsid w:val="1C16002F"/>
    <w:rsid w:val="1C263E88"/>
    <w:rsid w:val="1C2761BC"/>
    <w:rsid w:val="1C6D06D7"/>
    <w:rsid w:val="1C6E39C8"/>
    <w:rsid w:val="1C965384"/>
    <w:rsid w:val="1CEF74C6"/>
    <w:rsid w:val="1D374356"/>
    <w:rsid w:val="1D3A0284"/>
    <w:rsid w:val="1DCB535E"/>
    <w:rsid w:val="1DFFB3F8"/>
    <w:rsid w:val="1E2E78B2"/>
    <w:rsid w:val="1E847F11"/>
    <w:rsid w:val="1E8B5B37"/>
    <w:rsid w:val="1EC9341E"/>
    <w:rsid w:val="1EE2244B"/>
    <w:rsid w:val="1EEA4844"/>
    <w:rsid w:val="1F010FC2"/>
    <w:rsid w:val="1F114779"/>
    <w:rsid w:val="1F136AA8"/>
    <w:rsid w:val="1F1B770B"/>
    <w:rsid w:val="1F9820A7"/>
    <w:rsid w:val="1FAC139E"/>
    <w:rsid w:val="1FB92A97"/>
    <w:rsid w:val="1FEB3581"/>
    <w:rsid w:val="201B5F07"/>
    <w:rsid w:val="20435030"/>
    <w:rsid w:val="20BE2FD2"/>
    <w:rsid w:val="20D75279"/>
    <w:rsid w:val="20EE77A3"/>
    <w:rsid w:val="20F052F3"/>
    <w:rsid w:val="20F0554C"/>
    <w:rsid w:val="21120CF6"/>
    <w:rsid w:val="213845A4"/>
    <w:rsid w:val="21E55FC7"/>
    <w:rsid w:val="21FB6ACC"/>
    <w:rsid w:val="220E3E9E"/>
    <w:rsid w:val="221B2DED"/>
    <w:rsid w:val="22237360"/>
    <w:rsid w:val="22453160"/>
    <w:rsid w:val="229A1106"/>
    <w:rsid w:val="22AD4B1E"/>
    <w:rsid w:val="22CE5F9A"/>
    <w:rsid w:val="22E276E2"/>
    <w:rsid w:val="22E8419D"/>
    <w:rsid w:val="22F938B0"/>
    <w:rsid w:val="23321FDB"/>
    <w:rsid w:val="234B6811"/>
    <w:rsid w:val="23A93537"/>
    <w:rsid w:val="23AB395A"/>
    <w:rsid w:val="23AD1279"/>
    <w:rsid w:val="23E8005F"/>
    <w:rsid w:val="23FA0237"/>
    <w:rsid w:val="23FA0B3C"/>
    <w:rsid w:val="23FC3FAF"/>
    <w:rsid w:val="24194B61"/>
    <w:rsid w:val="2428282F"/>
    <w:rsid w:val="243C31D2"/>
    <w:rsid w:val="244E64CE"/>
    <w:rsid w:val="24575689"/>
    <w:rsid w:val="249D327E"/>
    <w:rsid w:val="24DE25E6"/>
    <w:rsid w:val="24E26007"/>
    <w:rsid w:val="24E44819"/>
    <w:rsid w:val="24F627AC"/>
    <w:rsid w:val="24FA29B1"/>
    <w:rsid w:val="25201D61"/>
    <w:rsid w:val="25504BD5"/>
    <w:rsid w:val="2559683D"/>
    <w:rsid w:val="25BD32CA"/>
    <w:rsid w:val="25C05F54"/>
    <w:rsid w:val="25C62619"/>
    <w:rsid w:val="25D250E6"/>
    <w:rsid w:val="25D83FDE"/>
    <w:rsid w:val="26086C3B"/>
    <w:rsid w:val="263435E5"/>
    <w:rsid w:val="263D3F96"/>
    <w:rsid w:val="26547924"/>
    <w:rsid w:val="266126EB"/>
    <w:rsid w:val="268A5833"/>
    <w:rsid w:val="26991969"/>
    <w:rsid w:val="26C36002"/>
    <w:rsid w:val="27CE6E7A"/>
    <w:rsid w:val="27D9302A"/>
    <w:rsid w:val="28001B89"/>
    <w:rsid w:val="281E2746"/>
    <w:rsid w:val="28382332"/>
    <w:rsid w:val="285F30B0"/>
    <w:rsid w:val="286F1064"/>
    <w:rsid w:val="28812400"/>
    <w:rsid w:val="28884063"/>
    <w:rsid w:val="28CE5BC4"/>
    <w:rsid w:val="28DA6C3F"/>
    <w:rsid w:val="28F02809"/>
    <w:rsid w:val="29143B49"/>
    <w:rsid w:val="298450F5"/>
    <w:rsid w:val="299148F9"/>
    <w:rsid w:val="299E220B"/>
    <w:rsid w:val="29A7676B"/>
    <w:rsid w:val="29AC683E"/>
    <w:rsid w:val="29DB4666"/>
    <w:rsid w:val="2A360F85"/>
    <w:rsid w:val="2A5D464D"/>
    <w:rsid w:val="2A75410F"/>
    <w:rsid w:val="2A880E1D"/>
    <w:rsid w:val="2AA34250"/>
    <w:rsid w:val="2AA358A3"/>
    <w:rsid w:val="2AAA6513"/>
    <w:rsid w:val="2AFC6642"/>
    <w:rsid w:val="2B603794"/>
    <w:rsid w:val="2BD55811"/>
    <w:rsid w:val="2C1B0D4A"/>
    <w:rsid w:val="2C243741"/>
    <w:rsid w:val="2C5D1D8D"/>
    <w:rsid w:val="2C6A5839"/>
    <w:rsid w:val="2D0C48CD"/>
    <w:rsid w:val="2D6E108A"/>
    <w:rsid w:val="2D875248"/>
    <w:rsid w:val="2D90508A"/>
    <w:rsid w:val="2D922480"/>
    <w:rsid w:val="2DE85FF2"/>
    <w:rsid w:val="2DF126AA"/>
    <w:rsid w:val="2DFA14E5"/>
    <w:rsid w:val="2E624857"/>
    <w:rsid w:val="2F0B154A"/>
    <w:rsid w:val="2F6E62BE"/>
    <w:rsid w:val="2F9B28CE"/>
    <w:rsid w:val="2FAC6C2C"/>
    <w:rsid w:val="2FCA1B7F"/>
    <w:rsid w:val="2FFD8E40"/>
    <w:rsid w:val="2FFE7AEF"/>
    <w:rsid w:val="300441D0"/>
    <w:rsid w:val="30347592"/>
    <w:rsid w:val="30470360"/>
    <w:rsid w:val="3058256D"/>
    <w:rsid w:val="30586A11"/>
    <w:rsid w:val="306B6744"/>
    <w:rsid w:val="30C96FC7"/>
    <w:rsid w:val="30CD0B73"/>
    <w:rsid w:val="30E42053"/>
    <w:rsid w:val="30FC739C"/>
    <w:rsid w:val="30FF0F4F"/>
    <w:rsid w:val="31045B89"/>
    <w:rsid w:val="31445AD2"/>
    <w:rsid w:val="3183186B"/>
    <w:rsid w:val="31A65C70"/>
    <w:rsid w:val="31A939D7"/>
    <w:rsid w:val="31E42682"/>
    <w:rsid w:val="320355CD"/>
    <w:rsid w:val="32201EB1"/>
    <w:rsid w:val="32366D6B"/>
    <w:rsid w:val="32454D73"/>
    <w:rsid w:val="328A6C2A"/>
    <w:rsid w:val="32955203"/>
    <w:rsid w:val="32C57C62"/>
    <w:rsid w:val="33194429"/>
    <w:rsid w:val="331C5AD4"/>
    <w:rsid w:val="33572580"/>
    <w:rsid w:val="33576588"/>
    <w:rsid w:val="339C6957"/>
    <w:rsid w:val="33A82B67"/>
    <w:rsid w:val="33AD61A9"/>
    <w:rsid w:val="33B67924"/>
    <w:rsid w:val="33B76CFF"/>
    <w:rsid w:val="34495732"/>
    <w:rsid w:val="34700D72"/>
    <w:rsid w:val="34916A44"/>
    <w:rsid w:val="34E70363"/>
    <w:rsid w:val="35016ED2"/>
    <w:rsid w:val="3502780C"/>
    <w:rsid w:val="35566C29"/>
    <w:rsid w:val="35BC359E"/>
    <w:rsid w:val="35C97A69"/>
    <w:rsid w:val="35F0461A"/>
    <w:rsid w:val="3604551F"/>
    <w:rsid w:val="3644480A"/>
    <w:rsid w:val="36541A28"/>
    <w:rsid w:val="365841AE"/>
    <w:rsid w:val="366D26F8"/>
    <w:rsid w:val="367621AC"/>
    <w:rsid w:val="36B670C2"/>
    <w:rsid w:val="36E032BC"/>
    <w:rsid w:val="36F445E5"/>
    <w:rsid w:val="36FC6B05"/>
    <w:rsid w:val="370276D6"/>
    <w:rsid w:val="37042369"/>
    <w:rsid w:val="375717D0"/>
    <w:rsid w:val="375D66BB"/>
    <w:rsid w:val="37E56DDC"/>
    <w:rsid w:val="37EA0060"/>
    <w:rsid w:val="380354B4"/>
    <w:rsid w:val="381274A5"/>
    <w:rsid w:val="38211DDE"/>
    <w:rsid w:val="38257DE4"/>
    <w:rsid w:val="38353A8A"/>
    <w:rsid w:val="38413B3E"/>
    <w:rsid w:val="384D4981"/>
    <w:rsid w:val="38502041"/>
    <w:rsid w:val="38532E42"/>
    <w:rsid w:val="385828C1"/>
    <w:rsid w:val="386D5023"/>
    <w:rsid w:val="3874481B"/>
    <w:rsid w:val="390F1A9A"/>
    <w:rsid w:val="39644D95"/>
    <w:rsid w:val="396D7564"/>
    <w:rsid w:val="39934616"/>
    <w:rsid w:val="3A0D7142"/>
    <w:rsid w:val="3A3951BD"/>
    <w:rsid w:val="3A794498"/>
    <w:rsid w:val="3AC80191"/>
    <w:rsid w:val="3AD12EA7"/>
    <w:rsid w:val="3B0B653D"/>
    <w:rsid w:val="3B1743D8"/>
    <w:rsid w:val="3B644241"/>
    <w:rsid w:val="3BC47ED3"/>
    <w:rsid w:val="3BDD0772"/>
    <w:rsid w:val="3C570FBE"/>
    <w:rsid w:val="3C7C3A87"/>
    <w:rsid w:val="3CBF5B8F"/>
    <w:rsid w:val="3CFC187D"/>
    <w:rsid w:val="3D0D1022"/>
    <w:rsid w:val="3D72154A"/>
    <w:rsid w:val="3DB04ECE"/>
    <w:rsid w:val="3DBFDC0A"/>
    <w:rsid w:val="3DD220B1"/>
    <w:rsid w:val="3DE17BAA"/>
    <w:rsid w:val="3E151A9D"/>
    <w:rsid w:val="3E1F291C"/>
    <w:rsid w:val="3E431692"/>
    <w:rsid w:val="3E432A93"/>
    <w:rsid w:val="3E6E56EE"/>
    <w:rsid w:val="3E9E05F6"/>
    <w:rsid w:val="3ECA79FB"/>
    <w:rsid w:val="3EEC4B49"/>
    <w:rsid w:val="3F0D3F8E"/>
    <w:rsid w:val="3F7809C4"/>
    <w:rsid w:val="3FBE399E"/>
    <w:rsid w:val="3FC52998"/>
    <w:rsid w:val="3FCF3ECE"/>
    <w:rsid w:val="3FFB4CC3"/>
    <w:rsid w:val="401556B5"/>
    <w:rsid w:val="40180EB2"/>
    <w:rsid w:val="40414DCB"/>
    <w:rsid w:val="40520D87"/>
    <w:rsid w:val="41272213"/>
    <w:rsid w:val="414032D5"/>
    <w:rsid w:val="415F7A57"/>
    <w:rsid w:val="41943621"/>
    <w:rsid w:val="419C2362"/>
    <w:rsid w:val="41E501B8"/>
    <w:rsid w:val="42427904"/>
    <w:rsid w:val="428002FC"/>
    <w:rsid w:val="42815953"/>
    <w:rsid w:val="4284213D"/>
    <w:rsid w:val="429A4C67"/>
    <w:rsid w:val="42C615B8"/>
    <w:rsid w:val="42E3376C"/>
    <w:rsid w:val="42F41DA1"/>
    <w:rsid w:val="434F4320"/>
    <w:rsid w:val="436B0CCB"/>
    <w:rsid w:val="436D5ED7"/>
    <w:rsid w:val="43904600"/>
    <w:rsid w:val="43BD286C"/>
    <w:rsid w:val="443D2FA6"/>
    <w:rsid w:val="446B248C"/>
    <w:rsid w:val="44955C03"/>
    <w:rsid w:val="44A4014A"/>
    <w:rsid w:val="44A825EB"/>
    <w:rsid w:val="44B33264"/>
    <w:rsid w:val="44B33DBE"/>
    <w:rsid w:val="45260A34"/>
    <w:rsid w:val="453F3821"/>
    <w:rsid w:val="45457849"/>
    <w:rsid w:val="454825B1"/>
    <w:rsid w:val="45811D29"/>
    <w:rsid w:val="459C6DF2"/>
    <w:rsid w:val="45A32084"/>
    <w:rsid w:val="45CA13BF"/>
    <w:rsid w:val="45F07FE8"/>
    <w:rsid w:val="46AE491A"/>
    <w:rsid w:val="46DF329C"/>
    <w:rsid w:val="46DF70EC"/>
    <w:rsid w:val="46F5391A"/>
    <w:rsid w:val="471B22A1"/>
    <w:rsid w:val="47295937"/>
    <w:rsid w:val="474A4194"/>
    <w:rsid w:val="475B75E0"/>
    <w:rsid w:val="475FA5FB"/>
    <w:rsid w:val="47A04ACD"/>
    <w:rsid w:val="47B55DC2"/>
    <w:rsid w:val="47B80ECF"/>
    <w:rsid w:val="47BE4F54"/>
    <w:rsid w:val="47BE64C5"/>
    <w:rsid w:val="47BE73FC"/>
    <w:rsid w:val="47BF204E"/>
    <w:rsid w:val="47EE1F3B"/>
    <w:rsid w:val="47F92D32"/>
    <w:rsid w:val="481E3C44"/>
    <w:rsid w:val="483B7A14"/>
    <w:rsid w:val="484334C8"/>
    <w:rsid w:val="48473501"/>
    <w:rsid w:val="48603129"/>
    <w:rsid w:val="486D017A"/>
    <w:rsid w:val="48AD6E5F"/>
    <w:rsid w:val="48AE4977"/>
    <w:rsid w:val="48D013E2"/>
    <w:rsid w:val="48E93EF5"/>
    <w:rsid w:val="498E506C"/>
    <w:rsid w:val="49A33B39"/>
    <w:rsid w:val="49AC4C71"/>
    <w:rsid w:val="49B540C7"/>
    <w:rsid w:val="49D32778"/>
    <w:rsid w:val="4A9B4993"/>
    <w:rsid w:val="4AC231D5"/>
    <w:rsid w:val="4ADC0B7C"/>
    <w:rsid w:val="4B306168"/>
    <w:rsid w:val="4B352E5D"/>
    <w:rsid w:val="4B58282B"/>
    <w:rsid w:val="4B69167A"/>
    <w:rsid w:val="4B7668BA"/>
    <w:rsid w:val="4BB40B47"/>
    <w:rsid w:val="4BB77AB2"/>
    <w:rsid w:val="4BBF1503"/>
    <w:rsid w:val="4BBF4A43"/>
    <w:rsid w:val="4C116793"/>
    <w:rsid w:val="4C4874E2"/>
    <w:rsid w:val="4C8B19C3"/>
    <w:rsid w:val="4CBF59F6"/>
    <w:rsid w:val="4D045566"/>
    <w:rsid w:val="4D0D08A1"/>
    <w:rsid w:val="4D225F85"/>
    <w:rsid w:val="4D252766"/>
    <w:rsid w:val="4D3857A8"/>
    <w:rsid w:val="4D4C611D"/>
    <w:rsid w:val="4DBB07BE"/>
    <w:rsid w:val="4DC71350"/>
    <w:rsid w:val="4E097A0F"/>
    <w:rsid w:val="4E214614"/>
    <w:rsid w:val="4E2579AB"/>
    <w:rsid w:val="4E557C94"/>
    <w:rsid w:val="4E8812BF"/>
    <w:rsid w:val="4E8E7B60"/>
    <w:rsid w:val="4ECC7CA4"/>
    <w:rsid w:val="4EDA1F52"/>
    <w:rsid w:val="4EE02326"/>
    <w:rsid w:val="4F0C314C"/>
    <w:rsid w:val="4F3979C7"/>
    <w:rsid w:val="4F9675EC"/>
    <w:rsid w:val="4FB07878"/>
    <w:rsid w:val="4FB56C24"/>
    <w:rsid w:val="4FC64420"/>
    <w:rsid w:val="506A2CD6"/>
    <w:rsid w:val="507917DD"/>
    <w:rsid w:val="50C10927"/>
    <w:rsid w:val="511F2F07"/>
    <w:rsid w:val="512D6CA6"/>
    <w:rsid w:val="513427F7"/>
    <w:rsid w:val="51387B25"/>
    <w:rsid w:val="514D7D1E"/>
    <w:rsid w:val="516E09DF"/>
    <w:rsid w:val="51962A9D"/>
    <w:rsid w:val="519A433C"/>
    <w:rsid w:val="51D22153"/>
    <w:rsid w:val="51FF7611"/>
    <w:rsid w:val="52410C5B"/>
    <w:rsid w:val="524D6E98"/>
    <w:rsid w:val="524E69FA"/>
    <w:rsid w:val="52606A94"/>
    <w:rsid w:val="52841AC9"/>
    <w:rsid w:val="52A50EEF"/>
    <w:rsid w:val="52CA50F4"/>
    <w:rsid w:val="52F43F1F"/>
    <w:rsid w:val="5327118D"/>
    <w:rsid w:val="53281484"/>
    <w:rsid w:val="53355E2C"/>
    <w:rsid w:val="5354229B"/>
    <w:rsid w:val="5373420A"/>
    <w:rsid w:val="5399567A"/>
    <w:rsid w:val="54036BD4"/>
    <w:rsid w:val="549D6B02"/>
    <w:rsid w:val="54AD082A"/>
    <w:rsid w:val="54B659A7"/>
    <w:rsid w:val="54BE5EE0"/>
    <w:rsid w:val="5511700B"/>
    <w:rsid w:val="551C47BE"/>
    <w:rsid w:val="55374EF1"/>
    <w:rsid w:val="55674DA8"/>
    <w:rsid w:val="55753A7D"/>
    <w:rsid w:val="55780E38"/>
    <w:rsid w:val="55804813"/>
    <w:rsid w:val="55C20305"/>
    <w:rsid w:val="55D83684"/>
    <w:rsid w:val="55FC5C1D"/>
    <w:rsid w:val="55FF5BE7"/>
    <w:rsid w:val="564362A7"/>
    <w:rsid w:val="56586774"/>
    <w:rsid w:val="56727B89"/>
    <w:rsid w:val="5673586F"/>
    <w:rsid w:val="567515C3"/>
    <w:rsid w:val="56A1616C"/>
    <w:rsid w:val="56CE4A87"/>
    <w:rsid w:val="57336597"/>
    <w:rsid w:val="578472E4"/>
    <w:rsid w:val="57EC6503"/>
    <w:rsid w:val="580C1D0B"/>
    <w:rsid w:val="583C439E"/>
    <w:rsid w:val="586027F4"/>
    <w:rsid w:val="58AD2CC2"/>
    <w:rsid w:val="58C70577"/>
    <w:rsid w:val="590B08CA"/>
    <w:rsid w:val="593432C8"/>
    <w:rsid w:val="594A6A02"/>
    <w:rsid w:val="59741916"/>
    <w:rsid w:val="598D0FDE"/>
    <w:rsid w:val="59D708D6"/>
    <w:rsid w:val="5A3E1FBA"/>
    <w:rsid w:val="5A655C07"/>
    <w:rsid w:val="5A762D42"/>
    <w:rsid w:val="5A8262B5"/>
    <w:rsid w:val="5A831CAF"/>
    <w:rsid w:val="5AA73C6B"/>
    <w:rsid w:val="5AB13643"/>
    <w:rsid w:val="5AB50FC1"/>
    <w:rsid w:val="5AB741C7"/>
    <w:rsid w:val="5ABF40D3"/>
    <w:rsid w:val="5AF90B79"/>
    <w:rsid w:val="5B7143C7"/>
    <w:rsid w:val="5B7C0F56"/>
    <w:rsid w:val="5BA31523"/>
    <w:rsid w:val="5BBE3AFE"/>
    <w:rsid w:val="5BF55F42"/>
    <w:rsid w:val="5C1967A5"/>
    <w:rsid w:val="5C1D6295"/>
    <w:rsid w:val="5C246971"/>
    <w:rsid w:val="5C3E0D4F"/>
    <w:rsid w:val="5C4E0C1B"/>
    <w:rsid w:val="5C5C0361"/>
    <w:rsid w:val="5C652FE9"/>
    <w:rsid w:val="5C7E2B2D"/>
    <w:rsid w:val="5C964917"/>
    <w:rsid w:val="5CD1185B"/>
    <w:rsid w:val="5CFC28FC"/>
    <w:rsid w:val="5D294A0E"/>
    <w:rsid w:val="5E2561F1"/>
    <w:rsid w:val="5E512226"/>
    <w:rsid w:val="5E81526D"/>
    <w:rsid w:val="5E815FA5"/>
    <w:rsid w:val="5EA11DC5"/>
    <w:rsid w:val="5EB7B44D"/>
    <w:rsid w:val="5EB80682"/>
    <w:rsid w:val="5EBF0D1A"/>
    <w:rsid w:val="5EC82FEA"/>
    <w:rsid w:val="5EF84D97"/>
    <w:rsid w:val="5F2E6A0B"/>
    <w:rsid w:val="5F552451"/>
    <w:rsid w:val="5F653658"/>
    <w:rsid w:val="5F824661"/>
    <w:rsid w:val="5F9525E6"/>
    <w:rsid w:val="5FDD7713"/>
    <w:rsid w:val="5FF9489B"/>
    <w:rsid w:val="5FFC403D"/>
    <w:rsid w:val="600F4147"/>
    <w:rsid w:val="609B59DA"/>
    <w:rsid w:val="60B13450"/>
    <w:rsid w:val="60B43F73"/>
    <w:rsid w:val="60B74988"/>
    <w:rsid w:val="60D30A5C"/>
    <w:rsid w:val="60D809DC"/>
    <w:rsid w:val="60F96E54"/>
    <w:rsid w:val="610E77EE"/>
    <w:rsid w:val="616E1356"/>
    <w:rsid w:val="618741B1"/>
    <w:rsid w:val="61A24FB0"/>
    <w:rsid w:val="61E51DE2"/>
    <w:rsid w:val="62126170"/>
    <w:rsid w:val="625B3673"/>
    <w:rsid w:val="629D6F74"/>
    <w:rsid w:val="62AA45FB"/>
    <w:rsid w:val="62CA486F"/>
    <w:rsid w:val="62CF134B"/>
    <w:rsid w:val="62E60C7B"/>
    <w:rsid w:val="63215D62"/>
    <w:rsid w:val="6328082B"/>
    <w:rsid w:val="632E5AFC"/>
    <w:rsid w:val="635F7193"/>
    <w:rsid w:val="637C5F97"/>
    <w:rsid w:val="63A1155A"/>
    <w:rsid w:val="63BF0791"/>
    <w:rsid w:val="63C012CD"/>
    <w:rsid w:val="63D60996"/>
    <w:rsid w:val="63E7059E"/>
    <w:rsid w:val="63EA73A4"/>
    <w:rsid w:val="63F20B51"/>
    <w:rsid w:val="641111A6"/>
    <w:rsid w:val="64202DC6"/>
    <w:rsid w:val="64671D6D"/>
    <w:rsid w:val="6496118C"/>
    <w:rsid w:val="64B97A35"/>
    <w:rsid w:val="64BA03E3"/>
    <w:rsid w:val="64D0468F"/>
    <w:rsid w:val="64EB52A1"/>
    <w:rsid w:val="64F425BA"/>
    <w:rsid w:val="653528A1"/>
    <w:rsid w:val="65391972"/>
    <w:rsid w:val="6549634D"/>
    <w:rsid w:val="65624D19"/>
    <w:rsid w:val="65735178"/>
    <w:rsid w:val="65E70BEF"/>
    <w:rsid w:val="65F067C8"/>
    <w:rsid w:val="669E7A57"/>
    <w:rsid w:val="66CD28BF"/>
    <w:rsid w:val="66E150D5"/>
    <w:rsid w:val="671C1221"/>
    <w:rsid w:val="6758204C"/>
    <w:rsid w:val="67B83316"/>
    <w:rsid w:val="67CB129B"/>
    <w:rsid w:val="67E265E5"/>
    <w:rsid w:val="67F85E08"/>
    <w:rsid w:val="68364B42"/>
    <w:rsid w:val="683B486A"/>
    <w:rsid w:val="687375F3"/>
    <w:rsid w:val="68E24AEE"/>
    <w:rsid w:val="68E33C00"/>
    <w:rsid w:val="68FC3BC1"/>
    <w:rsid w:val="69201173"/>
    <w:rsid w:val="69434E61"/>
    <w:rsid w:val="694E2184"/>
    <w:rsid w:val="695B0665"/>
    <w:rsid w:val="69F83AC6"/>
    <w:rsid w:val="6A040C86"/>
    <w:rsid w:val="6A350EF2"/>
    <w:rsid w:val="6A4C294C"/>
    <w:rsid w:val="6A4E1D0F"/>
    <w:rsid w:val="6A8917B4"/>
    <w:rsid w:val="6A8B4D12"/>
    <w:rsid w:val="6AE605AD"/>
    <w:rsid w:val="6B142D29"/>
    <w:rsid w:val="6B8A6C42"/>
    <w:rsid w:val="6B8E2D0B"/>
    <w:rsid w:val="6BAF51BC"/>
    <w:rsid w:val="6C05307F"/>
    <w:rsid w:val="6CEE4D83"/>
    <w:rsid w:val="6D262AD0"/>
    <w:rsid w:val="6D2A7ED7"/>
    <w:rsid w:val="6D7F4976"/>
    <w:rsid w:val="6D9739CD"/>
    <w:rsid w:val="6DA22A9E"/>
    <w:rsid w:val="6DA531CF"/>
    <w:rsid w:val="6DB30807"/>
    <w:rsid w:val="6E113780"/>
    <w:rsid w:val="6E310D05"/>
    <w:rsid w:val="6E3D4575"/>
    <w:rsid w:val="6E934195"/>
    <w:rsid w:val="6F033E9E"/>
    <w:rsid w:val="6F51552C"/>
    <w:rsid w:val="6F524050"/>
    <w:rsid w:val="6F675DD1"/>
    <w:rsid w:val="6F814088"/>
    <w:rsid w:val="6FA833DD"/>
    <w:rsid w:val="6FFB6495"/>
    <w:rsid w:val="70073196"/>
    <w:rsid w:val="700C41FF"/>
    <w:rsid w:val="703D244F"/>
    <w:rsid w:val="70463DEA"/>
    <w:rsid w:val="70553953"/>
    <w:rsid w:val="70590FDD"/>
    <w:rsid w:val="706F478E"/>
    <w:rsid w:val="70875F7B"/>
    <w:rsid w:val="709B161E"/>
    <w:rsid w:val="70AB487B"/>
    <w:rsid w:val="70BC0FD8"/>
    <w:rsid w:val="70D138D4"/>
    <w:rsid w:val="71265794"/>
    <w:rsid w:val="71336CF5"/>
    <w:rsid w:val="713A4CEE"/>
    <w:rsid w:val="71C50B09"/>
    <w:rsid w:val="71D058CF"/>
    <w:rsid w:val="721675B7"/>
    <w:rsid w:val="721B2E1F"/>
    <w:rsid w:val="72245452"/>
    <w:rsid w:val="722D770A"/>
    <w:rsid w:val="72634A56"/>
    <w:rsid w:val="726E1E1F"/>
    <w:rsid w:val="72B34E05"/>
    <w:rsid w:val="72B5493F"/>
    <w:rsid w:val="72DF5BFA"/>
    <w:rsid w:val="7300449D"/>
    <w:rsid w:val="73724CC1"/>
    <w:rsid w:val="737C3591"/>
    <w:rsid w:val="73981936"/>
    <w:rsid w:val="73A94138"/>
    <w:rsid w:val="73AF2E6B"/>
    <w:rsid w:val="73EA4857"/>
    <w:rsid w:val="74100271"/>
    <w:rsid w:val="741D504A"/>
    <w:rsid w:val="743E4BA3"/>
    <w:rsid w:val="7457323E"/>
    <w:rsid w:val="749F4FD0"/>
    <w:rsid w:val="74A013B9"/>
    <w:rsid w:val="74AA048A"/>
    <w:rsid w:val="74DD43BC"/>
    <w:rsid w:val="75AC270E"/>
    <w:rsid w:val="75D95C56"/>
    <w:rsid w:val="75E0564B"/>
    <w:rsid w:val="75F47711"/>
    <w:rsid w:val="760B6A7A"/>
    <w:rsid w:val="761262E7"/>
    <w:rsid w:val="76174D8A"/>
    <w:rsid w:val="764448FD"/>
    <w:rsid w:val="764D65FB"/>
    <w:rsid w:val="767825EE"/>
    <w:rsid w:val="76856EE4"/>
    <w:rsid w:val="768C42EB"/>
    <w:rsid w:val="769C30B7"/>
    <w:rsid w:val="76FA5181"/>
    <w:rsid w:val="773F18AD"/>
    <w:rsid w:val="774E3E16"/>
    <w:rsid w:val="774E700A"/>
    <w:rsid w:val="77734DE4"/>
    <w:rsid w:val="77866F8C"/>
    <w:rsid w:val="78054355"/>
    <w:rsid w:val="780659D7"/>
    <w:rsid w:val="785827F3"/>
    <w:rsid w:val="788334CC"/>
    <w:rsid w:val="788976F0"/>
    <w:rsid w:val="788B3CBB"/>
    <w:rsid w:val="788D7EA7"/>
    <w:rsid w:val="78C73DB8"/>
    <w:rsid w:val="792A1B99"/>
    <w:rsid w:val="792E168A"/>
    <w:rsid w:val="79EF8EE7"/>
    <w:rsid w:val="79F16039"/>
    <w:rsid w:val="7A4724A9"/>
    <w:rsid w:val="7A4F403A"/>
    <w:rsid w:val="7A5A2966"/>
    <w:rsid w:val="7A6730A5"/>
    <w:rsid w:val="7A6D6BEC"/>
    <w:rsid w:val="7AD63D87"/>
    <w:rsid w:val="7B0D76A7"/>
    <w:rsid w:val="7B260BA9"/>
    <w:rsid w:val="7B362A78"/>
    <w:rsid w:val="7B622622"/>
    <w:rsid w:val="7B791E2B"/>
    <w:rsid w:val="7B856B52"/>
    <w:rsid w:val="7B8819FF"/>
    <w:rsid w:val="7B8A016D"/>
    <w:rsid w:val="7B8D45BA"/>
    <w:rsid w:val="7B900EAA"/>
    <w:rsid w:val="7BCD5EC8"/>
    <w:rsid w:val="7C1F03DB"/>
    <w:rsid w:val="7C211BE0"/>
    <w:rsid w:val="7C2514B8"/>
    <w:rsid w:val="7C52568F"/>
    <w:rsid w:val="7C7F3FAA"/>
    <w:rsid w:val="7CA93A66"/>
    <w:rsid w:val="7CD3334B"/>
    <w:rsid w:val="7CD767BD"/>
    <w:rsid w:val="7D123AB2"/>
    <w:rsid w:val="7D170C92"/>
    <w:rsid w:val="7DB87774"/>
    <w:rsid w:val="7DC40BF3"/>
    <w:rsid w:val="7DD24CD9"/>
    <w:rsid w:val="7DFA4230"/>
    <w:rsid w:val="7EC30AC6"/>
    <w:rsid w:val="7EF74642"/>
    <w:rsid w:val="7EFF6B81"/>
    <w:rsid w:val="7F325A07"/>
    <w:rsid w:val="7F3A3878"/>
    <w:rsid w:val="7F565B5F"/>
    <w:rsid w:val="7F5B6984"/>
    <w:rsid w:val="7F61279E"/>
    <w:rsid w:val="7FA466ED"/>
    <w:rsid w:val="7FCE327F"/>
    <w:rsid w:val="DDD7BFD8"/>
    <w:rsid w:val="DF1B1DDC"/>
    <w:rsid w:val="F7EF76BD"/>
    <w:rsid w:val="FDE7B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Times New Roman" w:hAnsi="Times New Roman" w:eastAsia="仿宋_GB2312" w:cs="Calibri"/>
      <w:sz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3890</Words>
  <Characters>3987</Characters>
  <Lines>0</Lines>
  <Paragraphs>0</Paragraphs>
  <TotalTime>5</TotalTime>
  <ScaleCrop>false</ScaleCrop>
  <LinksUpToDate>false</LinksUpToDate>
  <CharactersWithSpaces>3997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2025-11-23T22:51:00Z</dcterms:created>
  <dc:creator>user</dc:creator>
  <cp:lastModifiedBy>尤丹丹</cp:lastModifiedBy>
  <cp:lastPrinted>2025-12-20T16:38:00Z</cp:lastPrinted>
  <dcterms:modified xsi:type="dcterms:W3CDTF">2026-08-07T08:59:25Z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eyJoZGlkIjoiMjI5MzJkNWZmM2ZmZDlmM2ZiYmI5ZjNmMzM3NzY2OWIiLCJ1c2VySWQiOiI0MzYzMDI1NTAifQ==</vt:lpwstr>
  </property>
  <property fmtid="{D5CDD505-2E9C-101B-9397-08002B2CF9AE}" pid="4" name="ICV">
    <vt:lpwstr>B2E04906F4E8D4614CD4A7696D7A9F9C</vt:lpwstr>
  </property>
</Properties>
</file>