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</w:rPr>
      </w:pPr>
      <w:r>
        <w:rPr>
          <w:rStyle w:val="4"/>
        </w:rPr>
        <w:br w:type="textWrapping"/>
      </w:r>
    </w:p>
    <w:tbl>
      <w:tblPr>
        <w:tblStyle w:val="3"/>
        <w:tblW w:w="85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3739"/>
        <w:gridCol w:w="1746"/>
        <w:gridCol w:w="22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Style w:val="4"/>
                <w:rFonts w:ascii="黑体" w:hAnsi="黑体" w:eastAsia="黑体"/>
                <w:sz w:val="36"/>
                <w:szCs w:val="36"/>
              </w:rPr>
            </w:pPr>
            <w:r>
              <w:rPr>
                <w:rStyle w:val="4"/>
                <w:rFonts w:ascii="仿宋_GB2312" w:eastAsia="仿宋_GB2312"/>
                <w:sz w:val="30"/>
                <w:szCs w:val="30"/>
              </w:rPr>
              <w:t>附件1</w:t>
            </w:r>
          </w:p>
          <w:p>
            <w:pPr>
              <w:jc w:val="center"/>
              <w:rPr>
                <w:rStyle w:val="4"/>
                <w:rFonts w:ascii="仿宋_GB2312" w:eastAsia="仿宋_GB2312"/>
                <w:sz w:val="30"/>
                <w:szCs w:val="30"/>
              </w:rPr>
            </w:pPr>
            <w:r>
              <w:rPr>
                <w:rStyle w:val="4"/>
                <w:rFonts w:ascii="黑体" w:hAnsi="黑体" w:eastAsia="黑体"/>
                <w:sz w:val="36"/>
                <w:szCs w:val="36"/>
              </w:rPr>
              <w:t>上海市2021年度</w:t>
            </w:r>
            <w:r>
              <w:rPr>
                <w:rStyle w:val="4"/>
                <w:rFonts w:hint="eastAsia" w:ascii="黑体" w:hAnsi="黑体" w:eastAsia="黑体"/>
                <w:sz w:val="36"/>
                <w:szCs w:val="36"/>
              </w:rPr>
              <w:t>企业</w:t>
            </w:r>
            <w:r>
              <w:rPr>
                <w:rStyle w:val="4"/>
                <w:rFonts w:ascii="黑体" w:hAnsi="黑体" w:eastAsia="黑体"/>
                <w:sz w:val="36"/>
                <w:szCs w:val="36"/>
              </w:rPr>
              <w:t>国有资产评估项目</w:t>
            </w:r>
            <w:r>
              <w:rPr>
                <w:rStyle w:val="4"/>
                <w:rFonts w:ascii="黑体" w:hAnsi="黑体" w:eastAsia="黑体"/>
                <w:sz w:val="36"/>
                <w:szCs w:val="36"/>
              </w:rPr>
              <w:br w:type="textWrapping"/>
            </w:r>
            <w:r>
              <w:rPr>
                <w:rStyle w:val="4"/>
                <w:rFonts w:ascii="黑体" w:hAnsi="黑体" w:eastAsia="黑体"/>
                <w:sz w:val="36"/>
                <w:szCs w:val="36"/>
              </w:rPr>
              <w:t>参与机构执业质量综合评价表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600" w:firstLineChars="200"/>
              <w:jc w:val="center"/>
              <w:rPr>
                <w:rStyle w:val="4"/>
                <w:rFonts w:asci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eastAsia="仿宋_GB2312"/>
                <w:sz w:val="30"/>
                <w:szCs w:val="30"/>
              </w:rPr>
              <w:t>（完成项目数比重5%以上服务机构评价情况）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86"/>
              <w:jc w:val="right"/>
              <w:rPr>
                <w:rStyle w:val="4"/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评估机构名称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比重(％)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综合评价分值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上海立信资产评估有限公司</w:t>
            </w:r>
          </w:p>
        </w:tc>
        <w:tc>
          <w:tcPr>
            <w:tcW w:w="1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10.25</w:t>
            </w:r>
          </w:p>
        </w:tc>
        <w:tc>
          <w:tcPr>
            <w:tcW w:w="22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93.14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上海申威资产评估有限公司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21.88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93.10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上海东洲资产评估有限公司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21.97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92.22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上海财瑞资产评估有限公司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10.06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91.99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银信资产评估有限公司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9.28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90.65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上海众华资产评估有限公司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5.57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8"/>
                <w:szCs w:val="28"/>
              </w:rPr>
              <w:t>83.29</w:t>
            </w:r>
          </w:p>
        </w:tc>
      </w:tr>
    </w:tbl>
    <w:p>
      <w:pPr>
        <w:ind w:firstLine="600" w:firstLineChars="200"/>
        <w:jc w:val="left"/>
        <w:rPr>
          <w:rStyle w:val="4"/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65E46"/>
    <w:rsid w:val="58A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2022-05-30T01:18:00Z</dcterms:created>
  <dc:creator>Administrator</dc:creator>
  <cp:lastModifiedBy>Administrator</cp:lastModifiedBy>
  <dcterms:modified xsi:type="dcterms:W3CDTF">2022-05-30T01:23:06Z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