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14</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16</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上海专精特新专板</w:t>
      </w:r>
      <w:bookmarkStart w:id="0" w:name="_GoBack"/>
      <w:bookmarkEnd w:id="0"/>
      <w:r>
        <w:rPr>
          <w:rFonts w:hint="eastAsia" w:ascii="Times New Roman" w:hAnsi="Times New Roman" w:eastAsia="华文中宋" w:cs="华文中宋"/>
          <w:color w:val="auto"/>
          <w:sz w:val="36"/>
          <w:szCs w:val="36"/>
          <w:highlight w:val="none"/>
          <w:shd w:val="clear" w:color="auto" w:fill="FFFFFF"/>
          <w:lang w:val="en-US" w:eastAsia="zh-CN" w:bidi="ar"/>
        </w:rPr>
        <w:t>开板</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上海交易集团、隧道股份助力数字产业发展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近日，由市委金融办、市经济信息化委、上海证监局主办的“上海专精特新专板开板暨认股权综合服务试点启动仪式”在上海股权托管交易中心举行，首批162家企业集体登陆上海专精特新专板。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活动现场，由上海交易集团下属上海股交中心倡议，上证信息、深证信息、北交所华东基地、中国金融信息中心、工商银行等14家商业银行、海通证券、国泰君安、市融资担保中心、上海资管协会、上海三大股权投资协会、上海S基金联盟等27家机构或行业协会组成的“上海专精特新企业服务联盟”成立。联盟致力于集聚各类优质金融服务资源，为专精特新企业群体的高质量发展提供更专业、更高效、更便捷的金融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由上海股交中心联合专业机构共同研发的基金份额估值服务系统也正式上线，可为交易双方提供定价参考依据。估值系统填补了相关领域空白，解决以往股权交易市场上由于信息不对称等原因，导致的交易效率较低的问题，让交易双方对拟转让资产有了交易参考和依据，让转让价格共识更容易达成，从而提高交易效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活动中，上海股交中心与市融资担保中心、上海专利商标事务所签署了专精特新企业专属服务协议。首批上海专精特新专板企业代表获颁证书，隧道股份数字集团旗下上海智能交通有限公司作为同时拥有专精特新“小巨人”和科技“小巨人”资质的企业，率先成为首批登陆上海专精特新专板的企业，标志着隧道股份的“科创幼苗”和“数字种子”，再获市场认可、资本青睐。上海智能交通公司多年来始终以智能交通的研究与应用为核心，坚持技术创新、注重科研投入，深耕智能交通领域，为城市数字化转型持续赋能，在获得市场高度认可的同时，也已然成为智能交通领域的技术模范、科创标杆。</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进一步提升专板功能，上海股交中心将发挥区块链独特优势，深入探索与三类链主的对接合作。加强与高质量孵化器、大企业创新中心等创新链主的对接合作；依托上海交易集团各类要素市场综合服务优势，加强与央国企、大型民营企业等产业链主的对接合作；深入研究产品创新，深化与金融机构、私募创投机构等金融链主的对接合作；持续提升金融服务实体经济尤其是专精特新企业发展质效。</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专精特新专板的正式开板，将有利于资本市场优化专精特新服务格局，提升金融服务实体经济发展质效，加快培育和形成新质生产力，助力上海打造更具竞争力的专精特新产业集群。（上海交易集团、隧道股份）</w:t>
      </w:r>
    </w:p>
    <w:p>
      <w:pPr>
        <w:rPr>
          <w:rFonts w:hint="eastAsia"/>
          <w:lang w:val="en-US"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上海国际集团发起设立早期硬科技基金</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打造全阶段全链条科创金融服务体系</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近日，由上海国际集团发起设立、上海科创基金管理的上海国际集团创领一期创业投资合伙企业（有限合伙）（简称“早期硬科技基金”）正式完成首关签约，首关金额1.66亿元。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发起设立早期硬科技基金，是贯彻落实中央和市委市政府部署要求的重要举措，也是做好科技金融大文章、创新国资创投市场化运作机制的积极探索，有助于促进上海科技创新中心与金融中心联动发展。以基金化方式布局早期硬科技投资，能够充分发挥国资引导和杠杆放大作用，引领社会资本以市场化方式支持硬科技项目早期孵化，强化上海科技创新策源功能，促进新质生产力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早期硬科技基金将聚焦张江等浦东新区重点区域，与超前孵化基地、概念验证中心、高校成果转化中心、产业链龙头企业等密切合作，推动创新链条深度融合，打造投资、培育、招引、落地一体化推进模式，促进“科技-产业-金融”高水平循环，通过更高水平的科技创新和资本要素融合，助力浦东新区打造面向世界、面向未来的硬核科技和前沿技术产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以早期硬科技基金首关为契机，上海国际集团将进一步丰富产业基金产品策略体系，强化直投基金力量，更好发挥资产配置的平台作用，为科技创新企业提供全产业链协同、全生命周期陪伴和全方位资源加持。（上海国际集团）</w:t>
      </w:r>
    </w:p>
    <w:p>
      <w:pPr>
        <w:pStyle w:val="3"/>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国内首家！虹桥机场跑道状态灯系统投入试运行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w:t>
      </w:r>
      <w:r>
        <w:rPr>
          <w:rFonts w:hint="default" w:ascii="Times New Roman" w:hAnsi="Times New Roman" w:eastAsia="仿宋_GB2312" w:cs="宋体"/>
          <w:i w:val="0"/>
          <w:caps w:val="0"/>
          <w:color w:val="auto"/>
          <w:spacing w:val="0"/>
          <w:sz w:val="32"/>
          <w:szCs w:val="32"/>
          <w:shd w:val="clear"/>
          <w:lang w:val="en-US" w:eastAsia="zh-CN" w:bidi="ar"/>
        </w:rPr>
        <w:t>，虹桥机场跑道状态灯系统正式投入试运行，跑滑区域的红色状态灯通过准确的亮灭指示，引导航空器有序穿越跑道。这是跑道状态灯系统在国内机场首次投入试运行。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跑道状态灯系统好比跑道上的智慧“交通信号灯”，系统利用飞行区场面及终端区交通态势数据，自动通过灯光亮灭向飞行员和车辆驾驶员传递信息，准确及时告知跑道占用情况，协助空管塔台指引航空器完成穿越跑道、起飞等动作。启用跑道状态灯系统后，能降低70%的跑道侵入概率，结合传统空管指挥，实现机场运行安全的双重保障。</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虹桥机场跑道状态灯系统由22组跑道进入灯、4组起飞等待灯组成，其运控程序适配我国民航运行要求和行业标准，填补了国内助航灯光智慧控制系统领域的空白。2018年，虹桥机场在机场集团统一部署下，开启跑道状态灯系统专项研究和现场试验，2022年9月启动正式建设，2023年6月7月分别完成项目主体建设和启动系统调试，2023年12月顺利完成首次验证飞行，为系统按计划投入试运行做好了充分的技术准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确保试运行期间的安全性，虹桥机场联合民航华东空管局完成了状态灯运行手册、维护手册、应急手册、关键指标的制定，开展了系统安全风险评估和多轮应急演练，并对航司进行了状态灯应用的宣贯。试运行期间，双方制定了定期运行通报和总结机制，开展运行综合评估，持续优化运行参数，为后续正式投用打下坚实基础，也为民航跑道状态灯系统建设、运行、维护、应急指导等方面提供了可复制、可推广、可借鉴的上海机场经验。</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机场集团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中欧班列（上海）首次开行“铁路快通”模式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w:t>
      </w:r>
      <w:r>
        <w:rPr>
          <w:rFonts w:hint="default" w:ascii="Times New Roman" w:hAnsi="Times New Roman" w:eastAsia="仿宋_GB2312" w:cs="宋体"/>
          <w:i w:val="0"/>
          <w:caps w:val="0"/>
          <w:color w:val="auto"/>
          <w:spacing w:val="0"/>
          <w:sz w:val="32"/>
          <w:szCs w:val="32"/>
          <w:shd w:val="clear"/>
          <w:lang w:val="en-US" w:eastAsia="zh-CN" w:bidi="ar"/>
        </w:rPr>
        <w:t>，伴随着火车鸣响汽笛，由东方国际运营的中欧班列（上海）从闵行缓缓出发，它将满载着无纺布、三相交流电动机、螺杆式空压机、机动叉车等货物，一路向西驶往俄罗斯圣彼得堡等多个站点。其中16柜发往俄罗斯圣彼得堡的无纺布首次通过“铁路快通”模式在上海本地报关放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“铁路快通”模式是海关总署为进一步畅通开放国际物流大通道，促进中欧班列发展推出的一项便利措施，该模式优化了以往业务流程和监管模式，实现海关、铁路、运营企业数据互通，三方协作共同监管。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保障此次上海铁路快通模式班列的顺利开行，东方国际旗下东方丝路团队提前组织好货源、充分了解快通政策，全过程实现精准对接，有效组织，全程监测，确保班列安全稳定运行。相比以往，班列整体运营时间缩短1至2天。</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此次上海首列“铁路快通”中欧班列的顺利开行，既是上海降本增效的全新尝试和重大突破，也为外贸企业“走出去”提供了安全高效的物流和供应链保障通道，积极响应国家“一带一路”倡议，为国内国际双循环注入新动力。</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今年以来，中欧班列持续保持高质量发展的态势，1至2月，中欧班列累计开行2928列，发送货物31.7万标箱，同比分别增长9%、10%。截至2024年2月底，中欧班列国内出发城市达120个，通达欧洲25个国家219个城市。未来，中欧班列（上海）的开行密度有望继续提高，运量也会有所突破，为上海发挥“一带一路”桥头堡作用增添助力。</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东方国际</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形成可持续发展的产业链生态</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“千帆会”新质生产力培育服务联盟成立</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日，“千帆会”新质生产力培育服务联盟成立仪式举行。该联盟由临港集团牵头，联合中国太保、上海农商银行、海通证券等四家联盟创始单位共同成立，旨在共同推动新质生产力高质量发展。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仪式上，临港集团和上海农商银行代表为临港集团园区6大孵化器联合挂牌“科创鑫孵化基地”，聚焦新质生产力，形成以孵化器业务为切入点、以未来产业研究为支撑点、以“科创更前”为落脚点的早期科创企业“鑫孵化”服务机制。</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联盟还发布了2024年度卫星互联网、脑机接口、大模型语料产业链、人形机器人、合成生物学五大细分赛道研究方向。四家联盟成员也发布了具有各自特色的“服务包”。</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临港集团将瞄准未来产业发展方向，结合特色产业园区布局，通过“创新策源端-产业发展端-成果转化端-服务赋能端-科创体系端”五位一体的科创综合服务体系，协同战略性科技力量，构建高能级创新平台，导入更多金融、数据、场景、服务等优势资源，形成更多落地服务案例，持续激活产业发展的新增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中国太保将充分发挥保险保障功能和耐心资本优势，把握“千帆会”联盟平台产业共研机会，进一步强化专业领域研究水平和风险识别能力，丰富面向重点产业和科创企业的金融服务供给，提升面向新质生产力的太保服务能级，为现代化产业体系建设和新质生产力发展贡献更大力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农商银行坚持科创金融发展理念，聚焦科技创新“源头活水”，积极支持科技成果孵化培育，探索企业全生命周期综合赋能。未来，将与各联盟单位通力合作，砥砺前行，为我国科创事业提供综合化、全覆盖的耐心资本、长期资本、赋能资本，为实现中国式现代化贡献金融力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海通证券将充分发挥“投、融、保、研”和财富管理业务联动优势，立足“千帆会”的广阔舞台和资源禀赋，把研究产业、服务产业、赋能产业摆在突出位置，加快构建广渠道、多层次、全覆盖、可持续的产业金融服务体系，形成服务于重点产业链的“海通特色”。</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后续，联盟将形成“十”大产业图谱报告、链接“百”家科技创新平台、孵化“千”个前沿科创项目、服务“万”家重点科创企业，因地制宜发展新质生产力，促进前沿产业在上海生根发展，形成未来可持续发展的产业链生态。</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临港集团、中国太保、上海农商银行、海通证券</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氢能多元化、商业化场景应用又有新进展</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申能集团推动科技创新与产业创新深度融合</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发展氢能产业的过程中，申能集团立足“三纵三横”战略，着力打通“制-储-运-加-用”产业链关键环节，推动科技创新与产业创新深度融合，打造示范项目和精品工程，加快将氢能先发优势转化为产业优势。近日，申能集团在实现氢能多元化、商业化场景应用上又有新进展。</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申能氢能储运装备助力巴黎奥运会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日前，申能集团旗下浙江蓝能为2024年巴黎奥运会加氢站配套的氢能储运装备——氢气长管拖车顺利启程发运。</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巴黎奥运会将于今年7月26日至8月11日举办。为打造史上最环保的一届奥运盛会，巴黎奥组委采取一系列措施以实现“碳排放减半”目标，其中氢能的应用扮演了重要角色。浙江蓝能高效节能的氢能储运装备作为本届巴黎奥运会加氢站的重要组成部分，将为赛事官方用车的氢燃料加注提供可靠保障。这也是继2022年北京冬奥会后，浙江蓝能再次赋能奥运盛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作为氢能储运装备行业龙头企业，浙江蓝能的产品和服务近年来走出国门，得到了全球客户的高度认可，公司也将继续擦亮“中国制造”名片，助力能源绿色转型。</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申能氢能产业链企业共助</w:t>
      </w:r>
      <w:r>
        <w:rPr>
          <w:rFonts w:hint="eastAsia" w:ascii="Times New Roman" w:hAnsi="Times New Roman" w:eastAsia="仿宋_GB2312" w:cs="宋体"/>
          <w:b/>
          <w:bCs/>
          <w:i w:val="0"/>
          <w:caps w:val="0"/>
          <w:color w:val="auto"/>
          <w:spacing w:val="0"/>
          <w:sz w:val="32"/>
          <w:szCs w:val="32"/>
          <w:shd w:val="clear"/>
          <w:lang w:val="en-US" w:eastAsia="zh-CN" w:bidi="ar"/>
        </w:rPr>
        <w:t xml:space="preserve"> </w:t>
      </w:r>
      <w:r>
        <w:rPr>
          <w:rFonts w:hint="default" w:ascii="Times New Roman" w:hAnsi="Times New Roman" w:eastAsia="仿宋_GB2312" w:cs="宋体"/>
          <w:b/>
          <w:bCs/>
          <w:i w:val="0"/>
          <w:caps w:val="0"/>
          <w:color w:val="auto"/>
          <w:spacing w:val="0"/>
          <w:sz w:val="32"/>
          <w:szCs w:val="32"/>
          <w:shd w:val="clear"/>
          <w:lang w:val="en-US" w:eastAsia="zh-CN" w:bidi="ar"/>
        </w:rPr>
        <w:t>“环杭州湾氢走廊”氢能重卡首发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环杭州湾氢走廊”氢能重卡在宁波市镇海区完成首发。本次首发的49吨氢能牵引车具有700公里的续航里程，能够满足从镇海港区出发沿环杭州湾高速前往嘉兴、杭州、绍兴等地的行驶需求。这批氢能重卡搭载了申能氢能产业链企业鲲华科技125kW燃料电池系统、氢晨科技大功率金属板燃料电池电堆和彼欧蓝能8×385L储氢系统，相较此前发布的“沪甬城际干线”氢能重卡，在续航里程、稳定性和可靠性等方面均有显著提升，能满足车辆多维度多工况的终端应用需求，具备加氢时间短、零污染等特点，成为申能氢能产业链企业携手为绿色交通事业贡献力量的又一成果。</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申能氢能产业链企业将继续深化与宁波市镇海区的合作，助力加快培育氢能产业，促进新质生产力的形成。</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申能集团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703D3"/>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7C4CE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11DA9"/>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21</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2023-01-04T17:47:00Z</dcterms:created>
  <dc:creator>user</dc:creator>
  <cp:lastModifiedBy>WPS_1622794468</cp:lastModifiedBy>
  <cp:lastPrinted>2024-04-08T09:23:00Z</cp:lastPrinted>
  <dcterms:modified xsi:type="dcterms:W3CDTF">2024-04-16T02:53:04Z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200DDD8D1001F8C80FB713667B555005</vt:lpwstr>
  </property>
</Properties>
</file>