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8"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spacing w:line="480" w:lineRule="exact"/>
        <w:ind w:right="-88" w:rightChars="-42"/>
        <w:jc w:val="center"/>
        <w:rPr>
          <w:rFonts w:ascii="宋体"/>
          <w:b/>
          <w:sz w:val="32"/>
        </w:rPr>
      </w:pPr>
      <w:r>
        <w:rPr>
          <w:rFonts w:hint="eastAsia" w:ascii="宋体" w:hAnsi="宋体"/>
          <w:b/>
          <w:sz w:val="32"/>
        </w:rPr>
        <w:t>第39期</w:t>
      </w:r>
    </w:p>
    <w:p>
      <w:pPr>
        <w:spacing w:line="480" w:lineRule="exact"/>
        <w:ind w:right="-88" w:rightChars="-42"/>
        <w:jc w:val="center"/>
        <w:rPr>
          <w:rFonts w:ascii="宋体"/>
          <w:b/>
          <w:sz w:val="32"/>
        </w:rPr>
      </w:pPr>
    </w:p>
    <w:p>
      <w:pPr>
        <w:spacing w:line="360" w:lineRule="exact"/>
        <w:ind w:right="-88" w:rightChars="-42"/>
        <w:rPr>
          <w:rFonts w:ascii="楷体_GB2312" w:hAnsi="宋体" w:eastAsia="楷体_GB2312"/>
          <w:b/>
          <w:spacing w:val="-14"/>
          <w:sz w:val="32"/>
        </w:rPr>
      </w:pPr>
      <w:r>
        <w:rPr>
          <w:rFonts w:hint="eastAsia" w:ascii="楷体_GB2312" w:hAnsi="宋体" w:eastAsia="楷体_GB2312"/>
          <w:spacing w:val="-14"/>
          <w:sz w:val="28"/>
        </w:rPr>
        <w:t>中共上海市国有资产监督管理委员会委员会办公室</w:t>
      </w:r>
    </w:p>
    <w:p>
      <w:pPr>
        <w:spacing w:line="360" w:lineRule="exact"/>
        <w:ind w:right="-88" w:rightChars="-42"/>
        <w:rPr>
          <w:rFonts w:ascii="楷体_GB2312" w:hAnsi="宋体" w:eastAsia="楷体_GB2312"/>
          <w:spacing w:val="-14"/>
          <w:sz w:val="28"/>
          <w:u w:val="single" w:color="FF0000"/>
        </w:rPr>
      </w:pPr>
      <w:r>
        <w:rPr>
          <w:rFonts w:hint="eastAsia" w:ascii="楷体_GB2312" w:hAnsi="宋体" w:eastAsia="楷体_GB2312"/>
          <w:spacing w:val="-22"/>
          <w:sz w:val="28"/>
          <w:u w:val="single" w:color="FF0000"/>
        </w:rPr>
        <w:t xml:space="preserve">上 海 市 国 有 资 产 监 督 管 理 委 员 会 办 公 室       </w:t>
      </w:r>
      <w:r>
        <w:rPr>
          <w:rFonts w:ascii="楷体_GB2312" w:hAnsi="宋体" w:eastAsia="楷体_GB2312"/>
          <w:spacing w:val="-14"/>
          <w:sz w:val="28"/>
          <w:u w:val="single" w:color="FF0000"/>
        </w:rPr>
        <w:t>2019</w:t>
      </w:r>
      <w:r>
        <w:rPr>
          <w:rFonts w:hint="eastAsia" w:ascii="楷体_GB2312" w:hAnsi="宋体" w:eastAsia="楷体_GB2312"/>
          <w:spacing w:val="-14"/>
          <w:sz w:val="28"/>
          <w:u w:val="single" w:color="FF0000"/>
        </w:rPr>
        <w:t>年12月08日</w:t>
      </w:r>
    </w:p>
    <w:p>
      <w:pPr>
        <w:spacing w:line="360" w:lineRule="exact"/>
        <w:ind w:right="-88" w:rightChars="-42"/>
        <w:rPr>
          <w:rFonts w:ascii="楷体_GB2312" w:hAnsi="宋体" w:eastAsia="楷体_GB2312"/>
          <w:spacing w:val="-14"/>
          <w:sz w:val="28"/>
          <w:u w:val="single" w:color="FF0000"/>
        </w:rPr>
      </w:pPr>
    </w:p>
    <w:p>
      <w:pPr>
        <w:numPr>
          <w:ilvl w:val="0"/>
          <w:numId w:val="1"/>
        </w:numPr>
        <w:spacing w:afterLines="50" w:line="440" w:lineRule="exact"/>
        <w:ind w:right="-88" w:rightChars="-42"/>
        <w:rPr>
          <w:rFonts w:ascii="华文中宋" w:hAnsi="华文中宋" w:eastAsia="华文中宋" w:cs="仿宋_GB2312"/>
          <w:b/>
          <w:sz w:val="28"/>
          <w:szCs w:val="28"/>
        </w:rPr>
      </w:pPr>
      <w:r>
        <w:rPr>
          <w:rFonts w:hint="eastAsia" w:ascii="楷体_GB2312" w:eastAsia="楷体_GB2312"/>
          <w:b/>
          <w:sz w:val="32"/>
          <w:szCs w:val="32"/>
        </w:rPr>
        <w:t>金融工作</w:t>
      </w: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浦发银行推出知识产权质押融资专项产品</w:t>
      </w:r>
    </w:p>
    <w:p>
      <w:pPr>
        <w:snapToGrid w:val="0"/>
        <w:spacing w:line="440" w:lineRule="exact"/>
        <w:jc w:val="center"/>
        <w:rPr>
          <w:rFonts w:ascii="华文中宋" w:hAnsi="华文中宋" w:eastAsia="华文中宋" w:cs="仿宋_GB2312"/>
          <w:b/>
          <w:sz w:val="28"/>
          <w:szCs w:val="28"/>
        </w:rPr>
      </w:pP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近日，浦发银行与上海知识产权局签署了《上海市知识产权金融服务战略合作协议》，并推出了基于知识产权质押融资的专属金融产品——“浦发智汇贷”。</w:t>
      </w: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浦发智汇贷”是浦发银行与上海技术交易所、国家技术转移东部中心合作，针对拥有知识产权的科创企业，推出的集专利评估、贷款融资、技术转让、交易处置于一体的专项金融产品。科创小微企业除可以通过知识产权质押获取银行融资服务外，还可获得知识产权价值评估、技术交易管理、技术交易保险、专业政策咨询等全流程服务，帮助拥有自主知识产权的科技型小微企业解决融资难及技术交易环节中的各种问题，提升企业品牌效应，推动企业健康快速成长。</w:t>
      </w:r>
    </w:p>
    <w:p>
      <w:pPr>
        <w:snapToGrid w:val="0"/>
        <w:spacing w:line="520" w:lineRule="exact"/>
        <w:ind w:firstLine="5320" w:firstLineChars="1900"/>
        <w:rPr>
          <w:rFonts w:ascii="仿宋_GB2312" w:hAnsi="MS Mincho" w:eastAsia="仿宋_GB2312" w:cs="MS Mincho"/>
          <w:sz w:val="28"/>
          <w:szCs w:val="28"/>
        </w:rPr>
      </w:pPr>
      <w:r>
        <w:rPr>
          <w:rFonts w:hint="eastAsia" w:ascii="仿宋_GB2312" w:hAnsi="MS Mincho" w:eastAsia="仿宋_GB2312" w:cs="MS Mincho"/>
          <w:sz w:val="28"/>
          <w:szCs w:val="28"/>
        </w:rPr>
        <w:t xml:space="preserve">          （浦发银行）</w:t>
      </w:r>
    </w:p>
    <w:p>
      <w:pPr>
        <w:snapToGrid w:val="0"/>
        <w:spacing w:line="440" w:lineRule="exact"/>
        <w:jc w:val="center"/>
        <w:rPr>
          <w:rFonts w:ascii="华文中宋" w:hAnsi="华文中宋" w:eastAsia="华文中宋" w:cs="仿宋_GB2312"/>
          <w:b/>
          <w:sz w:val="28"/>
          <w:szCs w:val="28"/>
        </w:rPr>
      </w:pP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上海银行助力节能环保产业 推进绿色金融深化发展</w:t>
      </w:r>
    </w:p>
    <w:p>
      <w:pPr>
        <w:widowControl/>
        <w:spacing w:line="500" w:lineRule="exact"/>
        <w:ind w:firstLine="600" w:firstLineChars="200"/>
        <w:rPr>
          <w:rFonts w:ascii="仿宋_GB2312" w:hAnsi="仿宋" w:eastAsia="仿宋_GB2312" w:cs="Arial"/>
          <w:kern w:val="0"/>
          <w:sz w:val="30"/>
          <w:szCs w:val="30"/>
        </w:rPr>
      </w:pPr>
    </w:p>
    <w:p>
      <w:pPr>
        <w:snapToGrid w:val="0"/>
        <w:spacing w:line="520" w:lineRule="exact"/>
        <w:ind w:firstLine="560" w:firstLineChars="200"/>
        <w:rPr>
          <w:rFonts w:ascii="仿宋_GB2312" w:hAnsi="MS Mincho" w:eastAsia="仿宋_GB2312" w:cs="MS Mincho"/>
          <w:sz w:val="28"/>
          <w:szCs w:val="28"/>
        </w:rPr>
      </w:pPr>
      <w:bookmarkStart w:id="0" w:name="OLE_LINK1"/>
      <w:r>
        <w:rPr>
          <w:rFonts w:hint="eastAsia" w:ascii="仿宋_GB2312" w:hAnsi="MS Mincho" w:eastAsia="仿宋_GB2312" w:cs="MS Mincho"/>
          <w:sz w:val="28"/>
          <w:szCs w:val="28"/>
        </w:rPr>
        <w:t>近日，上海银行</w:t>
      </w:r>
      <w:r>
        <w:rPr>
          <w:rFonts w:ascii="仿宋_GB2312" w:hAnsi="MS Mincho" w:eastAsia="仿宋_GB2312" w:cs="MS Mincho"/>
          <w:sz w:val="28"/>
          <w:szCs w:val="28"/>
        </w:rPr>
        <w:t>与</w:t>
      </w:r>
      <w:r>
        <w:rPr>
          <w:rFonts w:hint="eastAsia" w:ascii="仿宋_GB2312" w:hAnsi="MS Mincho" w:eastAsia="仿宋_GB2312" w:cs="MS Mincho"/>
          <w:sz w:val="28"/>
          <w:szCs w:val="28"/>
        </w:rPr>
        <w:t>国家开发</w:t>
      </w:r>
      <w:r>
        <w:rPr>
          <w:rFonts w:ascii="仿宋_GB2312" w:hAnsi="MS Mincho" w:eastAsia="仿宋_GB2312" w:cs="MS Mincho"/>
          <w:sz w:val="28"/>
          <w:szCs w:val="28"/>
        </w:rPr>
        <w:t>银行</w:t>
      </w:r>
      <w:r>
        <w:rPr>
          <w:rFonts w:hint="eastAsia" w:ascii="仿宋_GB2312" w:hAnsi="MS Mincho" w:eastAsia="仿宋_GB2312" w:cs="MS Mincho"/>
          <w:sz w:val="28"/>
          <w:szCs w:val="28"/>
        </w:rPr>
        <w:t>上海市分行共同</w:t>
      </w:r>
      <w:r>
        <w:rPr>
          <w:rFonts w:ascii="仿宋_GB2312" w:hAnsi="MS Mincho" w:eastAsia="仿宋_GB2312" w:cs="MS Mincho"/>
          <w:sz w:val="28"/>
          <w:szCs w:val="28"/>
        </w:rPr>
        <w:t>签署《</w:t>
      </w:r>
      <w:r>
        <w:rPr>
          <w:rFonts w:hint="eastAsia" w:ascii="仿宋_GB2312" w:hAnsi="MS Mincho" w:eastAsia="仿宋_GB2312" w:cs="MS Mincho"/>
          <w:sz w:val="28"/>
          <w:szCs w:val="28"/>
        </w:rPr>
        <w:t>上海产业绿贷专项合作协议》，与节能环保企业</w:t>
      </w:r>
      <w:r>
        <w:rPr>
          <w:rFonts w:ascii="仿宋_GB2312" w:hAnsi="MS Mincho" w:eastAsia="仿宋_GB2312" w:cs="MS Mincho"/>
          <w:sz w:val="28"/>
          <w:szCs w:val="28"/>
        </w:rPr>
        <w:t>代表</w:t>
      </w:r>
      <w:r>
        <w:rPr>
          <w:rFonts w:hint="eastAsia" w:ascii="仿宋_GB2312" w:hAnsi="MS Mincho" w:eastAsia="仿宋_GB2312" w:cs="MS Mincho"/>
          <w:sz w:val="28"/>
          <w:szCs w:val="28"/>
        </w:rPr>
        <w:t>——</w:t>
      </w:r>
      <w:r>
        <w:rPr>
          <w:rFonts w:ascii="仿宋_GB2312" w:hAnsi="MS Mincho" w:eastAsia="仿宋_GB2312" w:cs="MS Mincho"/>
          <w:sz w:val="28"/>
          <w:szCs w:val="28"/>
        </w:rPr>
        <w:t>微资源（</w:t>
      </w:r>
      <w:r>
        <w:rPr>
          <w:rFonts w:hint="eastAsia" w:ascii="仿宋_GB2312" w:hAnsi="MS Mincho" w:eastAsia="仿宋_GB2312" w:cs="MS Mincho"/>
          <w:sz w:val="28"/>
          <w:szCs w:val="28"/>
        </w:rPr>
        <w:t>上海</w:t>
      </w:r>
      <w:r>
        <w:rPr>
          <w:rFonts w:ascii="仿宋_GB2312" w:hAnsi="MS Mincho" w:eastAsia="仿宋_GB2312" w:cs="MS Mincho"/>
          <w:sz w:val="28"/>
          <w:szCs w:val="28"/>
        </w:rPr>
        <w:t>）</w:t>
      </w:r>
      <w:r>
        <w:rPr>
          <w:rFonts w:hint="eastAsia" w:ascii="仿宋_GB2312" w:hAnsi="MS Mincho" w:eastAsia="仿宋_GB2312" w:cs="MS Mincho"/>
          <w:sz w:val="28"/>
          <w:szCs w:val="28"/>
        </w:rPr>
        <w:t>生物</w:t>
      </w:r>
      <w:r>
        <w:rPr>
          <w:rFonts w:ascii="仿宋_GB2312" w:hAnsi="MS Mincho" w:eastAsia="仿宋_GB2312" w:cs="MS Mincho"/>
          <w:sz w:val="28"/>
          <w:szCs w:val="28"/>
        </w:rPr>
        <w:t>技术有限公司</w:t>
      </w:r>
      <w:r>
        <w:rPr>
          <w:rFonts w:hint="eastAsia" w:ascii="仿宋_GB2312" w:hAnsi="MS Mincho" w:eastAsia="仿宋_GB2312" w:cs="MS Mincho"/>
          <w:sz w:val="28"/>
          <w:szCs w:val="28"/>
        </w:rPr>
        <w:t>、上海</w:t>
      </w:r>
      <w:r>
        <w:rPr>
          <w:rFonts w:ascii="仿宋_GB2312" w:hAnsi="MS Mincho" w:eastAsia="仿宋_GB2312" w:cs="MS Mincho"/>
          <w:sz w:val="28"/>
          <w:szCs w:val="28"/>
        </w:rPr>
        <w:t>建为环保科技有限公司</w:t>
      </w:r>
      <w:r>
        <w:rPr>
          <w:rFonts w:hint="eastAsia" w:ascii="仿宋_GB2312" w:hAnsi="MS Mincho" w:eastAsia="仿宋_GB2312" w:cs="MS Mincho"/>
          <w:sz w:val="28"/>
          <w:szCs w:val="28"/>
        </w:rPr>
        <w:t>举行贷款</w:t>
      </w:r>
      <w:r>
        <w:rPr>
          <w:rFonts w:ascii="仿宋_GB2312" w:hAnsi="MS Mincho" w:eastAsia="仿宋_GB2312" w:cs="MS Mincho"/>
          <w:sz w:val="28"/>
          <w:szCs w:val="28"/>
        </w:rPr>
        <w:t>发放仪式</w:t>
      </w:r>
      <w:r>
        <w:rPr>
          <w:rFonts w:hint="eastAsia" w:ascii="仿宋_GB2312" w:hAnsi="MS Mincho" w:eastAsia="仿宋_GB2312" w:cs="MS Mincho"/>
          <w:sz w:val="28"/>
          <w:szCs w:val="28"/>
        </w:rPr>
        <w:t>。</w:t>
      </w: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节能</w:t>
      </w:r>
      <w:r>
        <w:rPr>
          <w:rFonts w:ascii="仿宋_GB2312" w:hAnsi="MS Mincho" w:eastAsia="仿宋_GB2312" w:cs="MS Mincho"/>
          <w:sz w:val="28"/>
          <w:szCs w:val="28"/>
        </w:rPr>
        <w:t>环保产业</w:t>
      </w:r>
      <w:r>
        <w:rPr>
          <w:rFonts w:hint="eastAsia" w:ascii="仿宋_GB2312" w:hAnsi="MS Mincho" w:eastAsia="仿宋_GB2312" w:cs="MS Mincho"/>
          <w:sz w:val="28"/>
          <w:szCs w:val="28"/>
        </w:rPr>
        <w:t>是</w:t>
      </w:r>
      <w:r>
        <w:rPr>
          <w:rFonts w:ascii="仿宋_GB2312" w:hAnsi="MS Mincho" w:eastAsia="仿宋_GB2312" w:cs="MS Mincho"/>
          <w:sz w:val="28"/>
          <w:szCs w:val="28"/>
        </w:rPr>
        <w:t>国家加快培育和发展的战略性新兴产业之一。</w:t>
      </w:r>
      <w:r>
        <w:rPr>
          <w:rFonts w:hint="eastAsia" w:ascii="仿宋_GB2312" w:hAnsi="MS Mincho" w:eastAsia="仿宋_GB2312" w:cs="MS Mincho"/>
          <w:sz w:val="28"/>
          <w:szCs w:val="28"/>
        </w:rPr>
        <w:t>银行业</w:t>
      </w:r>
      <w:r>
        <w:rPr>
          <w:rFonts w:ascii="仿宋_GB2312" w:hAnsi="MS Mincho" w:eastAsia="仿宋_GB2312" w:cs="MS Mincho"/>
          <w:sz w:val="28"/>
          <w:szCs w:val="28"/>
        </w:rPr>
        <w:t>服务节能环保产业</w:t>
      </w:r>
      <w:r>
        <w:rPr>
          <w:rFonts w:hint="eastAsia" w:ascii="仿宋_GB2312" w:hAnsi="MS Mincho" w:eastAsia="仿宋_GB2312" w:cs="MS Mincho"/>
          <w:sz w:val="28"/>
          <w:szCs w:val="28"/>
        </w:rPr>
        <w:t>、加强</w:t>
      </w:r>
      <w:r>
        <w:rPr>
          <w:rFonts w:ascii="仿宋_GB2312" w:hAnsi="MS Mincho" w:eastAsia="仿宋_GB2312" w:cs="MS Mincho"/>
          <w:sz w:val="28"/>
          <w:szCs w:val="28"/>
        </w:rPr>
        <w:t>发展绿色信贷</w:t>
      </w:r>
      <w:r>
        <w:rPr>
          <w:rFonts w:hint="eastAsia" w:ascii="仿宋_GB2312" w:hAnsi="MS Mincho" w:eastAsia="仿宋_GB2312" w:cs="MS Mincho"/>
          <w:sz w:val="28"/>
          <w:szCs w:val="28"/>
        </w:rPr>
        <w:t>，</w:t>
      </w:r>
      <w:r>
        <w:rPr>
          <w:rFonts w:ascii="仿宋_GB2312" w:hAnsi="MS Mincho" w:eastAsia="仿宋_GB2312" w:cs="MS Mincho"/>
          <w:sz w:val="28"/>
          <w:szCs w:val="28"/>
        </w:rPr>
        <w:t>是</w:t>
      </w:r>
      <w:r>
        <w:rPr>
          <w:rFonts w:hint="eastAsia" w:ascii="仿宋_GB2312" w:hAnsi="MS Mincho" w:eastAsia="仿宋_GB2312" w:cs="MS Mincho"/>
          <w:sz w:val="28"/>
          <w:szCs w:val="28"/>
        </w:rPr>
        <w:t>金融助推</w:t>
      </w:r>
      <w:r>
        <w:rPr>
          <w:rFonts w:ascii="仿宋_GB2312" w:hAnsi="MS Mincho" w:eastAsia="仿宋_GB2312" w:cs="MS Mincho"/>
          <w:sz w:val="28"/>
          <w:szCs w:val="28"/>
        </w:rPr>
        <w:t>经济结构调整、转变发展方式的内</w:t>
      </w:r>
      <w:r>
        <w:rPr>
          <w:rFonts w:hint="eastAsia" w:ascii="仿宋_GB2312" w:hAnsi="MS Mincho" w:eastAsia="仿宋_GB2312" w:cs="MS Mincho"/>
          <w:sz w:val="28"/>
          <w:szCs w:val="28"/>
        </w:rPr>
        <w:t>在要求</w:t>
      </w:r>
      <w:r>
        <w:rPr>
          <w:rFonts w:ascii="仿宋_GB2312" w:hAnsi="MS Mincho" w:eastAsia="仿宋_GB2312" w:cs="MS Mincho"/>
          <w:sz w:val="28"/>
          <w:szCs w:val="28"/>
        </w:rPr>
        <w:t>，</w:t>
      </w:r>
      <w:r>
        <w:rPr>
          <w:rFonts w:hint="eastAsia" w:ascii="仿宋_GB2312" w:hAnsi="MS Mincho" w:eastAsia="仿宋_GB2312" w:cs="MS Mincho"/>
          <w:sz w:val="28"/>
          <w:szCs w:val="28"/>
        </w:rPr>
        <w:t>也是</w:t>
      </w:r>
      <w:r>
        <w:rPr>
          <w:rFonts w:ascii="仿宋_GB2312" w:hAnsi="MS Mincho" w:eastAsia="仿宋_GB2312" w:cs="MS Mincho"/>
          <w:sz w:val="28"/>
          <w:szCs w:val="28"/>
        </w:rPr>
        <w:t>推动节能减排</w:t>
      </w:r>
      <w:r>
        <w:rPr>
          <w:rFonts w:hint="eastAsia" w:ascii="仿宋_GB2312" w:hAnsi="MS Mincho" w:eastAsia="仿宋_GB2312" w:cs="MS Mincho"/>
          <w:sz w:val="28"/>
          <w:szCs w:val="28"/>
        </w:rPr>
        <w:t>、</w:t>
      </w:r>
      <w:r>
        <w:rPr>
          <w:rFonts w:ascii="仿宋_GB2312" w:hAnsi="MS Mincho" w:eastAsia="仿宋_GB2312" w:cs="MS Mincho"/>
          <w:sz w:val="28"/>
          <w:szCs w:val="28"/>
        </w:rPr>
        <w:t>发展绿色经济和循环经济</w:t>
      </w:r>
      <w:r>
        <w:rPr>
          <w:rFonts w:hint="eastAsia" w:ascii="仿宋_GB2312" w:hAnsi="MS Mincho" w:eastAsia="仿宋_GB2312" w:cs="MS Mincho"/>
          <w:sz w:val="28"/>
          <w:szCs w:val="28"/>
        </w:rPr>
        <w:t>、</w:t>
      </w:r>
      <w:r>
        <w:rPr>
          <w:rFonts w:ascii="仿宋_GB2312" w:hAnsi="MS Mincho" w:eastAsia="仿宋_GB2312" w:cs="MS Mincho"/>
          <w:sz w:val="28"/>
          <w:szCs w:val="28"/>
        </w:rPr>
        <w:t>建设资源节约型友好社会的战略选择。</w:t>
      </w: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后续，上海银行将持续推动上海产业绿贷，助力企业</w:t>
      </w:r>
      <w:r>
        <w:rPr>
          <w:rFonts w:ascii="仿宋_GB2312" w:hAnsi="MS Mincho" w:eastAsia="仿宋_GB2312" w:cs="MS Mincho"/>
          <w:sz w:val="28"/>
          <w:szCs w:val="28"/>
        </w:rPr>
        <w:t>可持续</w:t>
      </w:r>
      <w:r>
        <w:rPr>
          <w:rFonts w:hint="eastAsia" w:ascii="仿宋_GB2312" w:hAnsi="MS Mincho" w:eastAsia="仿宋_GB2312" w:cs="MS Mincho"/>
          <w:sz w:val="28"/>
          <w:szCs w:val="28"/>
        </w:rPr>
        <w:t>发展，切实支持绿色金融</w:t>
      </w:r>
      <w:r>
        <w:rPr>
          <w:rFonts w:ascii="仿宋_GB2312" w:hAnsi="MS Mincho" w:eastAsia="仿宋_GB2312" w:cs="MS Mincho"/>
          <w:sz w:val="28"/>
          <w:szCs w:val="28"/>
        </w:rPr>
        <w:t>体系建设。</w:t>
      </w:r>
      <w:bookmarkEnd w:id="0"/>
      <w:r>
        <w:rPr>
          <w:rFonts w:hint="eastAsia" w:ascii="仿宋_GB2312" w:hAnsi="MS Mincho" w:eastAsia="仿宋_GB2312" w:cs="MS Mincho"/>
          <w:sz w:val="28"/>
          <w:szCs w:val="28"/>
        </w:rPr>
        <w:t xml:space="preserve">                      （上海银行）</w:t>
      </w:r>
    </w:p>
    <w:p>
      <w:pPr>
        <w:snapToGrid w:val="0"/>
        <w:spacing w:line="440" w:lineRule="exact"/>
        <w:jc w:val="center"/>
        <w:rPr>
          <w:rFonts w:ascii="华文中宋" w:hAnsi="华文中宋" w:eastAsia="华文中宋" w:cs="仿宋_GB2312"/>
          <w:b/>
          <w:sz w:val="28"/>
          <w:szCs w:val="28"/>
        </w:rPr>
      </w:pP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上海工会会员服务卡“三卡合一”</w:t>
      </w: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叠加交通卡功能 260多个城市互通</w:t>
      </w: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 xml:space="preserve"> </w:t>
      </w: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日前，上海市总工会、上海农商银行及上海交通卡公司共同宣布，上海工会会员服务卡（借记卡）将于2020年初全面升级，在原有功能基础上叠加交通卡功能，实现金融服务、职工保障与交通出行一卡通。上海农商银行也成为首家实现全国260多个城市互联互通的交通卡和银行卡功能集成的商业银行。</w:t>
      </w: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升级后，持卡人除可以继续享受上海工会会员服务卡（借记卡）原有的职工保障、便捷金融服务外，还可以直接刷卡搭乘上海的公交、地铁、出租车、轮渡等公共交通，并能享受交通卡全国260多个城市公共交通互联互通的便利。未来，所有新申请办卡的工会会员都将自动获得升级版上海工会会员服务卡（借记卡），原持卡工会会员可自愿前往上海农商银行任意网点申请换卡。        （上海农商银行）</w:t>
      </w:r>
    </w:p>
    <w:p>
      <w:pPr>
        <w:snapToGrid w:val="0"/>
        <w:spacing w:line="520" w:lineRule="exact"/>
        <w:ind w:firstLine="560" w:firstLineChars="200"/>
        <w:rPr>
          <w:rFonts w:ascii="仿宋_GB2312" w:hAnsi="MS Mincho" w:eastAsia="仿宋_GB2312" w:cs="MS Mincho"/>
          <w:sz w:val="28"/>
          <w:szCs w:val="28"/>
        </w:rPr>
      </w:pP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海通证券荣膺“十大证券公司金牛奖”等三项大奖</w:t>
      </w:r>
    </w:p>
    <w:p>
      <w:pPr>
        <w:snapToGrid w:val="0"/>
        <w:spacing w:line="440" w:lineRule="exact"/>
        <w:jc w:val="center"/>
        <w:rPr>
          <w:rFonts w:ascii="华文中宋" w:hAnsi="华文中宋" w:eastAsia="华文中宋" w:cs="仿宋_GB2312"/>
          <w:b/>
          <w:sz w:val="28"/>
          <w:szCs w:val="28"/>
        </w:rPr>
      </w:pP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日前，在“聚焦深化改革 证券业再出发”2019证券业高质量发展论坛上，海通证券荣膺“十大证券公司金牛奖”“金牛财富管理团队奖”“金牛资产管理团队奖”三项大奖。</w:t>
      </w: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金牛奖”是中国证券报鼎力打造的金融品牌，评选范围涵盖公募基金、私募基金、上市公司、证券业分析师、海外基金、PE基金多个领域。今年首次推出的“证券公司金牛奖”，以展示中国优秀证券公司，提高和扩大证券业在社会上的认同感，鼓励证券公司加快服务实体经济，引导证券业朝着规范健康方向发展。本次获奖，有利于传播海通品牌，提升公司品牌的辐射度、标识度和美誉度，为公司高质量发展助力。                                    （海通证券）</w:t>
      </w:r>
    </w:p>
    <w:p>
      <w:pPr>
        <w:pStyle w:val="5"/>
        <w:spacing w:before="0" w:beforeAutospacing="0" w:after="0" w:afterAutospacing="0"/>
        <w:ind w:firstLine="480"/>
        <w:jc w:val="both"/>
      </w:pPr>
      <w:r>
        <w:rPr>
          <w:rFonts w:hint="eastAsia"/>
        </w:rPr>
        <w:t> </w:t>
      </w: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中国太保与浪潮集团签署全面业务合作协议</w:t>
      </w:r>
    </w:p>
    <w:p>
      <w:pPr>
        <w:snapToGrid w:val="0"/>
        <w:spacing w:line="440" w:lineRule="exact"/>
        <w:jc w:val="center"/>
        <w:rPr>
          <w:rFonts w:ascii="华文中宋" w:hAnsi="华文中宋" w:eastAsia="华文中宋" w:cs="仿宋_GB2312"/>
          <w:b/>
          <w:sz w:val="28"/>
          <w:szCs w:val="28"/>
        </w:rPr>
      </w:pP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近日，中国太保与浪潮集团签署全面业务合作协议，双方将在云计算、大数据、人工智能与创新业务、投融资以及保险等方面开展多层次合作。中国太保将以保险长期资金助力浪潮集团以及中国信息技术产业发展；浪潮集团将借助自身丰富的IT产品、解决方案以及在云计算、大数据、AI等方面的领先技术，通过专属项目团队，为中国太保提供2.0战略转型以及客户体验、医疗健康等方面的个性化创新应用支持。此外，双方还将携手推进健康医疗大数据、天元大数据在保险行业的研究与应用，共同开展保险场景AI课题研究和人才培养，推动智慧门店、机器人等创新业务在保险业务中的应用，实现科技技术对金融保险行业的赋能。                     （中国太保）</w:t>
      </w:r>
    </w:p>
    <w:p>
      <w:pPr>
        <w:snapToGrid w:val="0"/>
        <w:spacing w:line="520" w:lineRule="exact"/>
        <w:jc w:val="center"/>
        <w:rPr>
          <w:rFonts w:ascii="仿宋_GB2312" w:hAnsi="MS Mincho" w:eastAsia="仿宋_GB2312" w:cs="MS Mincho"/>
          <w:sz w:val="28"/>
          <w:szCs w:val="28"/>
        </w:rPr>
      </w:pPr>
    </w:p>
    <w:p>
      <w:pPr>
        <w:numPr>
          <w:ilvl w:val="0"/>
          <w:numId w:val="1"/>
        </w:numPr>
        <w:spacing w:afterLines="50" w:line="480" w:lineRule="exact"/>
        <w:ind w:right="-88" w:rightChars="-42"/>
        <w:rPr>
          <w:rFonts w:ascii="楷体_GB2312" w:eastAsia="楷体_GB2312"/>
          <w:b/>
          <w:sz w:val="32"/>
          <w:szCs w:val="32"/>
        </w:rPr>
      </w:pPr>
      <w:r>
        <w:rPr>
          <w:rFonts w:hint="eastAsia" w:ascii="楷体_GB2312" w:eastAsia="楷体_GB2312"/>
          <w:b/>
          <w:sz w:val="32"/>
          <w:szCs w:val="32"/>
        </w:rPr>
        <w:t>经济工作</w:t>
      </w: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援助天水脱贫攻坚车辆交车 上汽大通精准扶贫暖人心</w:t>
      </w:r>
    </w:p>
    <w:p>
      <w:pPr>
        <w:snapToGrid w:val="0"/>
        <w:spacing w:line="440" w:lineRule="exact"/>
        <w:jc w:val="center"/>
        <w:rPr>
          <w:rFonts w:ascii="华文中宋" w:hAnsi="华文中宋" w:eastAsia="华文中宋" w:cs="仿宋_GB2312"/>
          <w:b/>
          <w:sz w:val="28"/>
          <w:szCs w:val="28"/>
        </w:rPr>
      </w:pP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近日，上汽大通援助天水脱贫攻坚车辆交车仪式在天水举行，上汽大通向天水市捐赠两辆上汽MAXUS V80救护车和四辆上汽MAXUS D90。这些车辆将服务在脱贫攻坚一线，支持当地经济社会发展打赢脱贫攻坚战。</w:t>
      </w: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天水市地处陕、甘、川三省交界，山地、丘陵、沟壑、盆地居多，极其考验车辆的整体性能。本次交付的上汽MAXUS D90拥有卓越的通过能力，可以帮助扶贫队伍轻松攻克西北地区复杂地形。而V80救护车辆配置了自动上车担架系统、铲式担架，以及整体式组合医疗柜、集中供氧系统等，为人员的转运和急救提供保障。    （上汽集团）</w:t>
      </w:r>
    </w:p>
    <w:p>
      <w:pPr>
        <w:snapToGrid w:val="0"/>
        <w:spacing w:line="520" w:lineRule="exact"/>
        <w:ind w:firstLine="560" w:firstLineChars="200"/>
        <w:rPr>
          <w:rFonts w:ascii="仿宋_GB2312" w:hAnsi="MS Mincho" w:eastAsia="仿宋_GB2312" w:cs="MS Mincho"/>
          <w:sz w:val="28"/>
          <w:szCs w:val="28"/>
        </w:rPr>
      </w:pP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上海仪电中标数字政府领域重磅项目</w:t>
      </w: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深耕公共数据运营 打造新型智慧城市</w:t>
      </w:r>
    </w:p>
    <w:p>
      <w:pPr>
        <w:snapToGrid w:val="0"/>
        <w:spacing w:line="520" w:lineRule="exact"/>
        <w:ind w:firstLine="561" w:firstLineChars="200"/>
        <w:rPr>
          <w:rFonts w:ascii="华文中宋" w:hAnsi="华文中宋" w:eastAsia="华文中宋" w:cs="仿宋_GB2312"/>
          <w:b/>
          <w:sz w:val="28"/>
          <w:szCs w:val="28"/>
        </w:rPr>
      </w:pPr>
    </w:p>
    <w:p>
      <w:pPr>
        <w:snapToGrid w:val="0"/>
        <w:spacing w:line="520" w:lineRule="exact"/>
        <w:ind w:firstLine="700" w:firstLineChars="250"/>
        <w:rPr>
          <w:rFonts w:ascii="仿宋_GB2312" w:hAnsi="MS Mincho" w:eastAsia="仿宋_GB2312" w:cs="MS Mincho"/>
          <w:sz w:val="28"/>
          <w:szCs w:val="28"/>
        </w:rPr>
      </w:pPr>
      <w:r>
        <w:rPr>
          <w:rFonts w:hint="eastAsia" w:ascii="仿宋_GB2312" w:hAnsi="MS Mincho" w:eastAsia="仿宋_GB2312" w:cs="MS Mincho"/>
          <w:sz w:val="28"/>
          <w:szCs w:val="28"/>
        </w:rPr>
        <w:t>近日，上海仪电旗下企业上海南洋万邦软件技术有限公司中标“上海市大数据中心数据运营服务”项目。该项目通过建设大数据资源平台，从平台与工具角度实现从数据采集、归集、整合、共享、开放到应用的全生命周期管理，整合现有数据资源体系，围绕政务公共数据管理与运营提供制度化、体系化、生态化的全方位支撑服务。</w:t>
      </w: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 xml:space="preserve"> 此项目的中标，是上海仪电在大数据行业的又一次重要突破，</w:t>
      </w:r>
      <w:r>
        <w:rPr>
          <w:rFonts w:ascii="仿宋_GB2312" w:hAnsi="MS Mincho" w:eastAsia="仿宋_GB2312" w:cs="MS Mincho"/>
          <w:sz w:val="28"/>
          <w:szCs w:val="28"/>
        </w:rPr>
        <w:t>为后续布局以数据为动能驱动各类行业进行数字化、智能化升级积累了宝贵经验</w:t>
      </w:r>
      <w:r>
        <w:rPr>
          <w:rFonts w:hint="eastAsia" w:ascii="仿宋_GB2312" w:hAnsi="MS Mincho" w:eastAsia="仿宋_GB2312" w:cs="MS Mincho"/>
          <w:sz w:val="28"/>
          <w:szCs w:val="28"/>
        </w:rPr>
        <w:t>，全力以赴支撑上海市打造超大型数字孪生城市，为上海乃至长三角数字经济产业发展贡献力量。              （上海仪电）</w:t>
      </w:r>
    </w:p>
    <w:p>
      <w:pPr>
        <w:snapToGrid w:val="0"/>
        <w:spacing w:line="520" w:lineRule="exact"/>
        <w:ind w:firstLine="560" w:firstLineChars="200"/>
        <w:rPr>
          <w:rFonts w:ascii="仿宋_GB2312" w:hAnsi="MS Mincho" w:eastAsia="仿宋_GB2312" w:cs="MS Mincho"/>
          <w:sz w:val="28"/>
          <w:szCs w:val="28"/>
        </w:rPr>
      </w:pP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隧道股份无人驾驶沥青道路摊铺压实设备完成铺上海“首秀”</w:t>
      </w:r>
    </w:p>
    <w:p>
      <w:pPr>
        <w:pStyle w:val="5"/>
        <w:spacing w:before="0" w:beforeAutospacing="0" w:after="0" w:afterAutospacing="0"/>
        <w:ind w:firstLine="480"/>
        <w:rPr>
          <w:rFonts w:ascii="仿宋_GB2312" w:eastAsia="仿宋_GB2312"/>
          <w:sz w:val="32"/>
          <w:szCs w:val="32"/>
        </w:rPr>
      </w:pPr>
      <w:r>
        <w:rPr>
          <w:rFonts w:hint="eastAsia" w:ascii="仿宋_GB2312" w:eastAsia="仿宋_GB2312"/>
          <w:sz w:val="32"/>
          <w:szCs w:val="32"/>
        </w:rPr>
        <w:t xml:space="preserve"> </w:t>
      </w:r>
    </w:p>
    <w:p>
      <w:pPr>
        <w:snapToGrid w:val="0"/>
        <w:spacing w:line="520" w:lineRule="exact"/>
        <w:ind w:firstLine="560" w:firstLineChars="200"/>
        <w:rPr>
          <w:rFonts w:hint="eastAsia" w:ascii="仿宋_GB2312" w:hAnsi="MS Mincho" w:eastAsia="仿宋_GB2312" w:cs="MS Mincho"/>
          <w:sz w:val="28"/>
          <w:szCs w:val="28"/>
        </w:rPr>
      </w:pPr>
      <w:r>
        <w:rPr>
          <w:rFonts w:hint="eastAsia" w:ascii="仿宋_GB2312" w:hAnsi="MS Mincho" w:eastAsia="仿宋_GB2312" w:cs="MS Mincho"/>
          <w:sz w:val="28"/>
          <w:szCs w:val="28"/>
        </w:rPr>
        <w:t>近日，在上海闵行区的朱建路道路改建项目上，由隧道股份路桥集团、三一重工、上海北斗平台公司联合研发的首套无人驾驶智能沥青道路摊铺压实设备完成了工程应用“首秀”。 此套设备安装大量传感器，可以充分收集施工过程中的环境温度、路面温度、碾压速度等数据，通过大数据分析，自动优化施工参数，</w:t>
      </w:r>
      <w:bookmarkStart w:id="1" w:name="_GoBack"/>
      <w:bookmarkEnd w:id="1"/>
      <w:r>
        <w:rPr>
          <w:rFonts w:hint="eastAsia" w:ascii="仿宋_GB2312" w:hAnsi="MS Mincho" w:eastAsia="仿宋_GB2312" w:cs="MS Mincho"/>
          <w:sz w:val="28"/>
          <w:szCs w:val="28"/>
        </w:rPr>
        <w:t>提升施工质量，为路面铺装技术带来了革命性的变化。三台无人驾驶施工设备中均采用了地基增强的北斗卫星定位导航系统，确保了施工设备行驶路线的精准。</w:t>
      </w: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下一步，科研团队还将研究将5G通讯技术用于无人驾驶摊铺压实设备，将无人驾驶摊铺的应用场景拓展到城市高架、机场等不同的领域，以满足城市建设的多样化需求。              （隧道股份）</w:t>
      </w:r>
    </w:p>
    <w:p>
      <w:pPr>
        <w:snapToGrid w:val="0"/>
        <w:spacing w:line="520" w:lineRule="exact"/>
        <w:ind w:firstLine="560" w:firstLineChars="200"/>
        <w:rPr>
          <w:rFonts w:ascii="仿宋_GB2312" w:hAnsi="MS Mincho" w:eastAsia="仿宋_GB2312" w:cs="MS Mincho"/>
          <w:sz w:val="28"/>
          <w:szCs w:val="28"/>
        </w:rPr>
      </w:pP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锦江全球采购平台成立全球公司</w:t>
      </w: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推动全球酒店供应圈生态扩容赋能</w:t>
      </w:r>
    </w:p>
    <w:p>
      <w:pPr>
        <w:snapToGrid w:val="0"/>
        <w:spacing w:line="440" w:lineRule="exact"/>
        <w:jc w:val="center"/>
        <w:rPr>
          <w:rFonts w:ascii="华文中宋" w:hAnsi="华文中宋" w:eastAsia="华文中宋" w:cs="仿宋_GB2312"/>
          <w:b/>
          <w:sz w:val="28"/>
          <w:szCs w:val="28"/>
        </w:rPr>
      </w:pP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日前，锦江全球采购平台在</w:t>
      </w:r>
      <w:r>
        <w:rPr>
          <w:rFonts w:ascii="仿宋_GB2312" w:hAnsi="MS Mincho" w:eastAsia="仿宋_GB2312" w:cs="MS Mincho"/>
          <w:sz w:val="28"/>
          <w:szCs w:val="28"/>
        </w:rPr>
        <w:t>HFE</w:t>
      </w:r>
      <w:r>
        <w:rPr>
          <w:rFonts w:hint="eastAsia" w:ascii="仿宋_GB2312" w:hAnsi="MS Mincho" w:eastAsia="仿宋_GB2312" w:cs="MS Mincho"/>
          <w:sz w:val="28"/>
          <w:szCs w:val="28"/>
        </w:rPr>
        <w:t>上海展上正式宣布成立锦江全球采购平台公司，并启动数字化平台系统，面向集团分布在全球范围内的酒店提供酒店供应链服务。</w:t>
      </w: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作为核心平台之一，锦江全球采购平台依托锦江全球产业规模，对标国际一流，整合全球酒店供应链资源，努力建设全球领先的酒店供应链服务平台。锦江全球采购平台始终立足于“产品</w:t>
      </w:r>
      <w:r>
        <w:rPr>
          <w:rFonts w:ascii="仿宋_GB2312" w:hAnsi="MS Mincho" w:eastAsia="仿宋_GB2312" w:cs="MS Mincho"/>
          <w:sz w:val="28"/>
          <w:szCs w:val="28"/>
        </w:rPr>
        <w:t>+</w:t>
      </w:r>
      <w:r>
        <w:rPr>
          <w:rFonts w:hint="eastAsia" w:ascii="仿宋_GB2312" w:hAnsi="MS Mincho" w:eastAsia="仿宋_GB2312" w:cs="MS Mincho"/>
          <w:sz w:val="28"/>
          <w:szCs w:val="28"/>
        </w:rPr>
        <w:t>服务”这一核心出发点，与全世界优质供应商和解决方案提供商合作，为酒店从筹建到运营阶段提供“智能化、数字化、平台化”的采购和供应链服务。从市场化股权合作、运营布局、筹建服务能力、发展目标等四个方面，赋能全球酒店产业链生态及未来的全球化运作发展。</w:t>
      </w:r>
    </w:p>
    <w:p>
      <w:pPr>
        <w:snapToGrid w:val="0"/>
        <w:spacing w:line="520" w:lineRule="exact"/>
        <w:ind w:firstLine="6160" w:firstLineChars="2200"/>
        <w:rPr>
          <w:rFonts w:ascii="仿宋_GB2312" w:hAnsi="MS Mincho" w:eastAsia="仿宋_GB2312" w:cs="MS Mincho"/>
          <w:sz w:val="28"/>
          <w:szCs w:val="28"/>
        </w:rPr>
      </w:pPr>
      <w:r>
        <w:rPr>
          <w:rFonts w:ascii="仿宋_GB2312" w:hAnsi="MS Mincho" w:eastAsia="仿宋_GB2312" w:cs="MS Mincho"/>
          <w:sz w:val="28"/>
          <w:szCs w:val="28"/>
        </w:rPr>
        <w:t>（锦江国际</w:t>
      </w:r>
      <w:r>
        <w:rPr>
          <w:rFonts w:hint="eastAsia" w:ascii="仿宋_GB2312" w:hAnsi="MS Mincho" w:eastAsia="仿宋_GB2312" w:cs="MS Mincho"/>
          <w:sz w:val="28"/>
          <w:szCs w:val="28"/>
        </w:rPr>
        <w:t>集团</w:t>
      </w:r>
      <w:r>
        <w:rPr>
          <w:rFonts w:ascii="仿宋_GB2312" w:hAnsi="MS Mincho" w:eastAsia="仿宋_GB2312" w:cs="MS Mincho"/>
          <w:sz w:val="28"/>
          <w:szCs w:val="28"/>
        </w:rPr>
        <w:t>）</w:t>
      </w:r>
    </w:p>
    <w:p>
      <w:pPr>
        <w:widowControl/>
        <w:spacing w:line="440" w:lineRule="exact"/>
        <w:rPr>
          <w:rFonts w:ascii="楷体_GB2312" w:eastAsia="楷体_GB2312"/>
          <w:b/>
          <w:sz w:val="32"/>
          <w:szCs w:val="32"/>
        </w:rPr>
      </w:pP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上海建科莘庄科技园区</w:t>
      </w:r>
    </w:p>
    <w:p>
      <w:pPr>
        <w:snapToGrid w:val="0"/>
        <w:spacing w:line="440" w:lineRule="exact"/>
        <w:jc w:val="center"/>
        <w:rPr>
          <w:rFonts w:ascii="华文中宋" w:hAnsi="华文中宋" w:eastAsia="华文中宋" w:cs="仿宋_GB2312"/>
          <w:b/>
          <w:sz w:val="28"/>
          <w:szCs w:val="28"/>
        </w:rPr>
      </w:pPr>
      <w:r>
        <w:rPr>
          <w:rFonts w:hint="eastAsia" w:ascii="华文中宋" w:hAnsi="华文中宋" w:eastAsia="华文中宋" w:cs="仿宋_GB2312"/>
          <w:b/>
          <w:sz w:val="28"/>
          <w:szCs w:val="28"/>
        </w:rPr>
        <w:t>10号楼荣获超低能耗建筑称号</w:t>
      </w: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 xml:space="preserve"> </w:t>
      </w:r>
    </w:p>
    <w:p>
      <w:pPr>
        <w:snapToGrid w:val="0"/>
        <w:spacing w:line="520" w:lineRule="exact"/>
        <w:ind w:firstLine="560" w:firstLineChars="200"/>
        <w:rPr>
          <w:rFonts w:hint="eastAsia" w:ascii="仿宋_GB2312" w:hAnsi="MS Mincho" w:eastAsia="仿宋_GB2312" w:cs="MS Mincho"/>
          <w:sz w:val="28"/>
          <w:szCs w:val="28"/>
        </w:rPr>
      </w:pPr>
      <w:r>
        <w:rPr>
          <w:rFonts w:hint="eastAsia" w:ascii="仿宋_GB2312" w:hAnsi="MS Mincho" w:eastAsia="仿宋_GB2312" w:cs="MS Mincho"/>
          <w:sz w:val="28"/>
          <w:szCs w:val="28"/>
        </w:rPr>
        <w:t>近日, 承载了上海建科集团最新的科技创新成果的上海建科莘庄科技园区10号楼，作为上海市第一批工程总承包试点项目和科技部、市科委等多项重点课题的研究基地与示范载体，获得了绿色三星标识和健康建筑标识，以及建筑节能协会认证的超低能耗项目。</w:t>
      </w:r>
    </w:p>
    <w:p>
      <w:pPr>
        <w:snapToGrid w:val="0"/>
        <w:spacing w:line="520" w:lineRule="exact"/>
        <w:ind w:firstLine="560" w:firstLineChars="200"/>
        <w:rPr>
          <w:rFonts w:ascii="仿宋_GB2312" w:hAnsi="MS Mincho" w:eastAsia="仿宋_GB2312" w:cs="MS Mincho"/>
          <w:sz w:val="28"/>
          <w:szCs w:val="28"/>
        </w:rPr>
      </w:pPr>
      <w:r>
        <w:rPr>
          <w:rFonts w:hint="eastAsia" w:ascii="仿宋_GB2312" w:hAnsi="MS Mincho" w:eastAsia="仿宋_GB2312" w:cs="MS Mincho"/>
          <w:sz w:val="28"/>
          <w:szCs w:val="28"/>
        </w:rPr>
        <w:t>莘庄10号楼采用具有气候适应性的超低能耗围护结构技术体系、混合通风系统、高性能多联机系统、LED照明光源和光导管系统、太阳能光热系统以及建筑构件一体化太阳能光伏系统，从降低负荷和提升能效两个方面保证了全年采暖空调能耗显著降低。经测评，莘庄10号楼建筑综合节能率53.65%，建筑本体节能率53.35%，可再生能源利用率5.98%。                             （上海建科集团）</w:t>
      </w:r>
    </w:p>
    <w:p>
      <w:pPr>
        <w:widowControl/>
        <w:spacing w:line="440" w:lineRule="exact"/>
        <w:rPr>
          <w:rFonts w:ascii="楷体_GB2312" w:eastAsia="楷体_GB2312"/>
          <w:b/>
          <w:sz w:val="32"/>
          <w:szCs w:val="32"/>
        </w:rPr>
      </w:pPr>
    </w:p>
    <w:p>
      <w:pPr>
        <w:widowControl/>
        <w:spacing w:line="440" w:lineRule="exact"/>
        <w:rPr>
          <w:rFonts w:ascii="仿宋_GB2312" w:eastAsia="仿宋_GB2312"/>
          <w:sz w:val="28"/>
          <w:szCs w:val="28"/>
        </w:rPr>
      </w:pPr>
      <w:r>
        <w:rPr>
          <w:rFonts w:hint="eastAsia" w:ascii="楷体_GB2312" w:eastAsia="楷体_GB2312"/>
          <w:b/>
          <w:sz w:val="32"/>
          <w:szCs w:val="32"/>
        </w:rPr>
        <w:t>简讯</w:t>
      </w:r>
    </w:p>
    <w:p>
      <w:pPr>
        <w:snapToGrid w:val="0"/>
        <w:spacing w:line="520" w:lineRule="exact"/>
        <w:rPr>
          <w:rFonts w:ascii="仿宋_GB2312" w:hAnsi="MS Mincho" w:eastAsia="仿宋_GB2312" w:cs="MS Mincho"/>
          <w:sz w:val="28"/>
          <w:szCs w:val="28"/>
        </w:rPr>
      </w:pPr>
      <w:r>
        <w:rPr>
          <w:rFonts w:hint="eastAsia" w:ascii="仿宋_GB2312" w:hAnsi="MS Mincho" w:eastAsia="仿宋_GB2312" w:cs="MS Mincho"/>
          <w:sz w:val="28"/>
          <w:szCs w:val="28"/>
        </w:rPr>
        <w:t>▲</w:t>
      </w:r>
      <w:r>
        <w:rPr>
          <w:rFonts w:ascii="仿宋_GB2312" w:hAnsi="MS Mincho" w:eastAsia="仿宋_GB2312" w:cs="MS Mincho"/>
          <w:sz w:val="28"/>
          <w:szCs w:val="28"/>
        </w:rPr>
        <w:t>近日，浦发银行与中国国际金融有限公司在北京签署战略合作协议，双方将在零售、</w:t>
      </w:r>
      <w:r>
        <w:rPr>
          <w:rFonts w:hint="eastAsia" w:ascii="仿宋_GB2312" w:hAnsi="MS Mincho" w:eastAsia="仿宋_GB2312" w:cs="MS Mincho"/>
          <w:sz w:val="28"/>
          <w:szCs w:val="28"/>
        </w:rPr>
        <w:t>公积金</w:t>
      </w:r>
      <w:r>
        <w:rPr>
          <w:rFonts w:ascii="仿宋_GB2312" w:hAnsi="MS Mincho" w:eastAsia="仿宋_GB2312" w:cs="MS Mincho"/>
          <w:sz w:val="28"/>
          <w:szCs w:val="28"/>
        </w:rPr>
        <w:t>和金融市场等领域的联动合作，互相成为战略客户、携手开拓增量客户、共同服务优质客户，开启集团化综合银证服务新局面。</w:t>
      </w:r>
      <w:r>
        <w:rPr>
          <w:rFonts w:hint="eastAsia" w:ascii="仿宋_GB2312" w:hAnsi="MS Mincho" w:eastAsia="仿宋_GB2312" w:cs="MS Mincho"/>
          <w:sz w:val="28"/>
          <w:szCs w:val="28"/>
        </w:rPr>
        <w:t xml:space="preserve">                                  （浦发银行）</w:t>
      </w:r>
    </w:p>
    <w:p>
      <w:pPr>
        <w:snapToGrid w:val="0"/>
        <w:spacing w:line="520" w:lineRule="exact"/>
        <w:rPr>
          <w:rFonts w:ascii="仿宋_GB2312" w:hAnsi="MS Mincho" w:eastAsia="仿宋_GB2312" w:cs="MS Mincho"/>
          <w:sz w:val="28"/>
          <w:szCs w:val="28"/>
        </w:rPr>
      </w:pPr>
      <w:r>
        <w:rPr>
          <w:rFonts w:hint="eastAsia" w:ascii="仿宋_GB2312" w:hAnsi="MS Mincho" w:eastAsia="仿宋_GB2312" w:cs="MS Mincho"/>
          <w:sz w:val="28"/>
          <w:szCs w:val="28"/>
        </w:rPr>
        <w:t>▲日前，东方国际与</w:t>
      </w:r>
      <w:r>
        <w:rPr>
          <w:rFonts w:ascii="仿宋_GB2312" w:hAnsi="MS Mincho" w:eastAsia="仿宋_GB2312" w:cs="MS Mincho"/>
          <w:sz w:val="28"/>
          <w:szCs w:val="28"/>
        </w:rPr>
        <w:t>野村控股株式会</w:t>
      </w:r>
      <w:r>
        <w:rPr>
          <w:rFonts w:hint="eastAsia" w:ascii="仿宋_GB2312" w:hAnsi="MS Mincho" w:eastAsia="仿宋_GB2312" w:cs="MS Mincho"/>
          <w:sz w:val="28"/>
          <w:szCs w:val="28"/>
        </w:rPr>
        <w:t>社</w:t>
      </w:r>
      <w:r>
        <w:rPr>
          <w:rFonts w:ascii="仿宋_GB2312" w:hAnsi="MS Mincho" w:eastAsia="仿宋_GB2312" w:cs="MS Mincho"/>
          <w:sz w:val="28"/>
          <w:szCs w:val="28"/>
        </w:rPr>
        <w:t>合资</w:t>
      </w:r>
      <w:r>
        <w:rPr>
          <w:rFonts w:hint="eastAsia" w:ascii="仿宋_GB2312" w:hAnsi="MS Mincho" w:eastAsia="仿宋_GB2312" w:cs="MS Mincho"/>
          <w:sz w:val="28"/>
          <w:szCs w:val="28"/>
        </w:rPr>
        <w:t>的</w:t>
      </w:r>
      <w:r>
        <w:rPr>
          <w:rFonts w:ascii="仿宋_GB2312" w:hAnsi="MS Mincho" w:eastAsia="仿宋_GB2312" w:cs="MS Mincho"/>
          <w:sz w:val="28"/>
          <w:szCs w:val="28"/>
        </w:rPr>
        <w:t>野村东方国际证券有限公司</w:t>
      </w:r>
      <w:r>
        <w:rPr>
          <w:rFonts w:hint="eastAsia" w:ascii="仿宋_GB2312" w:hAnsi="MS Mincho" w:eastAsia="仿宋_GB2312" w:cs="MS Mincho"/>
          <w:sz w:val="28"/>
          <w:szCs w:val="28"/>
        </w:rPr>
        <w:t>，</w:t>
      </w:r>
      <w:r>
        <w:rPr>
          <w:rFonts w:ascii="仿宋_GB2312" w:hAnsi="MS Mincho" w:eastAsia="仿宋_GB2312" w:cs="MS Mincho"/>
          <w:sz w:val="28"/>
          <w:szCs w:val="28"/>
        </w:rPr>
        <w:t xml:space="preserve">获得中国证券监督管理委员会颁发的经营证券业务许可证。 </w:t>
      </w:r>
      <w:r>
        <w:rPr>
          <w:rFonts w:hint="eastAsia" w:ascii="仿宋_GB2312" w:hAnsi="MS Mincho" w:eastAsia="仿宋_GB2312" w:cs="MS Mincho"/>
          <w:sz w:val="28"/>
          <w:szCs w:val="28"/>
        </w:rPr>
        <w:t xml:space="preserve">                                           </w:t>
      </w:r>
    </w:p>
    <w:p>
      <w:pPr>
        <w:snapToGrid w:val="0"/>
        <w:spacing w:line="520" w:lineRule="exact"/>
        <w:ind w:firstLine="6720" w:firstLineChars="2400"/>
        <w:rPr>
          <w:rFonts w:ascii="仿宋_GB2312" w:hAnsi="MS Mincho" w:eastAsia="仿宋_GB2312" w:cs="MS Mincho"/>
          <w:sz w:val="28"/>
          <w:szCs w:val="28"/>
        </w:rPr>
      </w:pPr>
      <w:r>
        <w:rPr>
          <w:rFonts w:hint="eastAsia" w:ascii="仿宋_GB2312" w:hAnsi="MS Mincho" w:eastAsia="仿宋_GB2312" w:cs="MS Mincho"/>
          <w:sz w:val="28"/>
          <w:szCs w:val="28"/>
        </w:rPr>
        <w:t>（东方国际）</w:t>
      </w:r>
    </w:p>
    <w:p>
      <w:pPr>
        <w:snapToGrid w:val="0"/>
        <w:spacing w:line="520" w:lineRule="exact"/>
        <w:rPr>
          <w:rFonts w:ascii="仿宋_GB2312" w:hAnsi="MS Mincho" w:eastAsia="仿宋_GB2312" w:cs="MS Mincho"/>
          <w:sz w:val="28"/>
          <w:szCs w:val="28"/>
        </w:rPr>
      </w:pPr>
      <w:r>
        <w:rPr>
          <w:rFonts w:hint="eastAsia" w:ascii="仿宋_GB2312" w:hAnsi="MS Mincho" w:eastAsia="仿宋_GB2312" w:cs="MS Mincho"/>
          <w:sz w:val="28"/>
          <w:szCs w:val="28"/>
        </w:rPr>
        <w:t>▲</w:t>
      </w:r>
      <w:r>
        <w:rPr>
          <w:rFonts w:ascii="仿宋_GB2312" w:hAnsi="MS Mincho" w:eastAsia="仿宋_GB2312" w:cs="MS Mincho"/>
          <w:sz w:val="28"/>
          <w:szCs w:val="28"/>
        </w:rPr>
        <w:t>日前，临港集团与云河都市研究院在临港新片区学习会现场签署战略协议。云河都市研究院将为临港集团提供顾问咨询、战略研究和规划、国际交流合作、中日产业园区建设及人才培训等服务，助力临港新片区建设。</w:t>
      </w:r>
      <w:r>
        <w:rPr>
          <w:rFonts w:hint="eastAsia" w:ascii="仿宋_GB2312" w:hAnsi="MS Mincho" w:eastAsia="仿宋_GB2312" w:cs="MS Mincho"/>
          <w:sz w:val="28"/>
          <w:szCs w:val="28"/>
        </w:rPr>
        <w:t xml:space="preserve">                                     （</w:t>
      </w:r>
      <w:r>
        <w:rPr>
          <w:rFonts w:ascii="仿宋_GB2312" w:hAnsi="MS Mincho" w:eastAsia="仿宋_GB2312" w:cs="MS Mincho"/>
          <w:sz w:val="28"/>
          <w:szCs w:val="28"/>
        </w:rPr>
        <w:t>临港集团</w:t>
      </w:r>
      <w:r>
        <w:rPr>
          <w:rFonts w:hint="eastAsia" w:ascii="仿宋_GB2312" w:hAnsi="MS Mincho" w:eastAsia="仿宋_GB2312" w:cs="MS Mincho"/>
          <w:sz w:val="28"/>
          <w:szCs w:val="28"/>
        </w:rPr>
        <w:t>）</w:t>
      </w:r>
    </w:p>
    <w:p>
      <w:pPr>
        <w:pStyle w:val="5"/>
        <w:spacing w:before="0" w:beforeAutospacing="0" w:after="0" w:afterAutospacing="0"/>
        <w:jc w:val="both"/>
        <w:rPr>
          <w:rFonts w:ascii="仿宋_GB2312" w:hAnsi="MS Mincho" w:eastAsia="仿宋_GB2312" w:cs="MS Mincho"/>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396"/>
    <w:rsid w:val="00000FAA"/>
    <w:rsid w:val="00002AC6"/>
    <w:rsid w:val="00002C07"/>
    <w:rsid w:val="00006F12"/>
    <w:rsid w:val="00007C4C"/>
    <w:rsid w:val="0001329D"/>
    <w:rsid w:val="00013789"/>
    <w:rsid w:val="00015FC2"/>
    <w:rsid w:val="0001742B"/>
    <w:rsid w:val="0002094E"/>
    <w:rsid w:val="00023661"/>
    <w:rsid w:val="00031F4C"/>
    <w:rsid w:val="0003469B"/>
    <w:rsid w:val="00034B6D"/>
    <w:rsid w:val="00036B69"/>
    <w:rsid w:val="00047041"/>
    <w:rsid w:val="000535D4"/>
    <w:rsid w:val="000647F9"/>
    <w:rsid w:val="00064FA7"/>
    <w:rsid w:val="0007425C"/>
    <w:rsid w:val="000746E6"/>
    <w:rsid w:val="00074EC8"/>
    <w:rsid w:val="0008621B"/>
    <w:rsid w:val="00090C3B"/>
    <w:rsid w:val="00090F2D"/>
    <w:rsid w:val="000B3829"/>
    <w:rsid w:val="000C57A1"/>
    <w:rsid w:val="000C5F41"/>
    <w:rsid w:val="000D1BF7"/>
    <w:rsid w:val="000D7214"/>
    <w:rsid w:val="000E02F4"/>
    <w:rsid w:val="000E4546"/>
    <w:rsid w:val="000E4F5E"/>
    <w:rsid w:val="0010261D"/>
    <w:rsid w:val="001132B9"/>
    <w:rsid w:val="00140209"/>
    <w:rsid w:val="001405CC"/>
    <w:rsid w:val="00141202"/>
    <w:rsid w:val="00145599"/>
    <w:rsid w:val="001525F7"/>
    <w:rsid w:val="00153DFB"/>
    <w:rsid w:val="00155D55"/>
    <w:rsid w:val="0016124E"/>
    <w:rsid w:val="0016531C"/>
    <w:rsid w:val="00167BF6"/>
    <w:rsid w:val="00172CD7"/>
    <w:rsid w:val="001773B1"/>
    <w:rsid w:val="00181054"/>
    <w:rsid w:val="0018150E"/>
    <w:rsid w:val="001858E1"/>
    <w:rsid w:val="001901FE"/>
    <w:rsid w:val="00190D03"/>
    <w:rsid w:val="00193433"/>
    <w:rsid w:val="00194B0B"/>
    <w:rsid w:val="00196053"/>
    <w:rsid w:val="001A2994"/>
    <w:rsid w:val="001A69A5"/>
    <w:rsid w:val="001C6EA8"/>
    <w:rsid w:val="001D26A6"/>
    <w:rsid w:val="001D4D16"/>
    <w:rsid w:val="001E2DDC"/>
    <w:rsid w:val="001E32B9"/>
    <w:rsid w:val="001E3FF8"/>
    <w:rsid w:val="001E7938"/>
    <w:rsid w:val="001F0B15"/>
    <w:rsid w:val="001F123D"/>
    <w:rsid w:val="001F3284"/>
    <w:rsid w:val="001F6562"/>
    <w:rsid w:val="002007D9"/>
    <w:rsid w:val="00215E03"/>
    <w:rsid w:val="0021625B"/>
    <w:rsid w:val="00225D1D"/>
    <w:rsid w:val="00226B81"/>
    <w:rsid w:val="002330BF"/>
    <w:rsid w:val="002345B4"/>
    <w:rsid w:val="002414BE"/>
    <w:rsid w:val="00245B98"/>
    <w:rsid w:val="00250EE1"/>
    <w:rsid w:val="00251F25"/>
    <w:rsid w:val="00251FA1"/>
    <w:rsid w:val="002657C1"/>
    <w:rsid w:val="0027141F"/>
    <w:rsid w:val="002725F5"/>
    <w:rsid w:val="002733F6"/>
    <w:rsid w:val="00276970"/>
    <w:rsid w:val="002772BF"/>
    <w:rsid w:val="002800E1"/>
    <w:rsid w:val="0028014D"/>
    <w:rsid w:val="002873F1"/>
    <w:rsid w:val="00287E63"/>
    <w:rsid w:val="002963CE"/>
    <w:rsid w:val="002A7DAC"/>
    <w:rsid w:val="002C0E35"/>
    <w:rsid w:val="002C7FAC"/>
    <w:rsid w:val="002E20CB"/>
    <w:rsid w:val="002E3B45"/>
    <w:rsid w:val="002E7F94"/>
    <w:rsid w:val="002F182B"/>
    <w:rsid w:val="003000CC"/>
    <w:rsid w:val="00315576"/>
    <w:rsid w:val="003207EB"/>
    <w:rsid w:val="00321FA9"/>
    <w:rsid w:val="00322A43"/>
    <w:rsid w:val="0033744E"/>
    <w:rsid w:val="003378A2"/>
    <w:rsid w:val="003414AF"/>
    <w:rsid w:val="003462C0"/>
    <w:rsid w:val="003471A7"/>
    <w:rsid w:val="00364221"/>
    <w:rsid w:val="00364420"/>
    <w:rsid w:val="00372462"/>
    <w:rsid w:val="00375B92"/>
    <w:rsid w:val="00381E77"/>
    <w:rsid w:val="003857BB"/>
    <w:rsid w:val="00385C48"/>
    <w:rsid w:val="0038694D"/>
    <w:rsid w:val="003956EC"/>
    <w:rsid w:val="00397B9E"/>
    <w:rsid w:val="003A4ABC"/>
    <w:rsid w:val="003B1C8F"/>
    <w:rsid w:val="003B61C1"/>
    <w:rsid w:val="003B7B3B"/>
    <w:rsid w:val="003C0E16"/>
    <w:rsid w:val="003C73EE"/>
    <w:rsid w:val="003C787B"/>
    <w:rsid w:val="003E166C"/>
    <w:rsid w:val="003E3910"/>
    <w:rsid w:val="003E4873"/>
    <w:rsid w:val="003E6B0D"/>
    <w:rsid w:val="003F2E84"/>
    <w:rsid w:val="003F525D"/>
    <w:rsid w:val="003F7505"/>
    <w:rsid w:val="00402456"/>
    <w:rsid w:val="00414040"/>
    <w:rsid w:val="00421731"/>
    <w:rsid w:val="004239BD"/>
    <w:rsid w:val="00430005"/>
    <w:rsid w:val="0043003B"/>
    <w:rsid w:val="0043310F"/>
    <w:rsid w:val="00433D3B"/>
    <w:rsid w:val="00433EDF"/>
    <w:rsid w:val="004366C2"/>
    <w:rsid w:val="00440CF1"/>
    <w:rsid w:val="004411C4"/>
    <w:rsid w:val="00444494"/>
    <w:rsid w:val="00451686"/>
    <w:rsid w:val="00456E58"/>
    <w:rsid w:val="004647A9"/>
    <w:rsid w:val="004704C7"/>
    <w:rsid w:val="00472137"/>
    <w:rsid w:val="004739EB"/>
    <w:rsid w:val="004749FE"/>
    <w:rsid w:val="00484DDD"/>
    <w:rsid w:val="004908C1"/>
    <w:rsid w:val="0049420C"/>
    <w:rsid w:val="004A3E75"/>
    <w:rsid w:val="004A76B6"/>
    <w:rsid w:val="004B278E"/>
    <w:rsid w:val="004C3236"/>
    <w:rsid w:val="004C3687"/>
    <w:rsid w:val="004C7097"/>
    <w:rsid w:val="004D0B2F"/>
    <w:rsid w:val="004D2877"/>
    <w:rsid w:val="004E1891"/>
    <w:rsid w:val="004E6EC0"/>
    <w:rsid w:val="004F3DC6"/>
    <w:rsid w:val="004F5295"/>
    <w:rsid w:val="004F556E"/>
    <w:rsid w:val="004F74C0"/>
    <w:rsid w:val="004F7A92"/>
    <w:rsid w:val="0050157A"/>
    <w:rsid w:val="00501CEE"/>
    <w:rsid w:val="00503F97"/>
    <w:rsid w:val="005044DE"/>
    <w:rsid w:val="005140EA"/>
    <w:rsid w:val="00514BAF"/>
    <w:rsid w:val="00516D7B"/>
    <w:rsid w:val="00521B4C"/>
    <w:rsid w:val="00531EAB"/>
    <w:rsid w:val="00537671"/>
    <w:rsid w:val="00550834"/>
    <w:rsid w:val="0055228E"/>
    <w:rsid w:val="00554520"/>
    <w:rsid w:val="00555593"/>
    <w:rsid w:val="005606EC"/>
    <w:rsid w:val="00566431"/>
    <w:rsid w:val="005717C0"/>
    <w:rsid w:val="00577B11"/>
    <w:rsid w:val="00584D62"/>
    <w:rsid w:val="005924DF"/>
    <w:rsid w:val="005929DB"/>
    <w:rsid w:val="00592DE1"/>
    <w:rsid w:val="00592E51"/>
    <w:rsid w:val="00594AD9"/>
    <w:rsid w:val="0059522F"/>
    <w:rsid w:val="005A3A83"/>
    <w:rsid w:val="005A44CD"/>
    <w:rsid w:val="005A47EB"/>
    <w:rsid w:val="005A728D"/>
    <w:rsid w:val="005A739D"/>
    <w:rsid w:val="005B0BE6"/>
    <w:rsid w:val="005B46AD"/>
    <w:rsid w:val="005B68A3"/>
    <w:rsid w:val="005D6326"/>
    <w:rsid w:val="005E263F"/>
    <w:rsid w:val="005E6016"/>
    <w:rsid w:val="005F05DF"/>
    <w:rsid w:val="005F1328"/>
    <w:rsid w:val="005F324A"/>
    <w:rsid w:val="005F4928"/>
    <w:rsid w:val="00600D93"/>
    <w:rsid w:val="006010ED"/>
    <w:rsid w:val="00601ADD"/>
    <w:rsid w:val="006072FB"/>
    <w:rsid w:val="00607DB3"/>
    <w:rsid w:val="00613385"/>
    <w:rsid w:val="00613B83"/>
    <w:rsid w:val="00617DE7"/>
    <w:rsid w:val="006207A3"/>
    <w:rsid w:val="00621147"/>
    <w:rsid w:val="006224BF"/>
    <w:rsid w:val="00632D38"/>
    <w:rsid w:val="006337BD"/>
    <w:rsid w:val="006356C1"/>
    <w:rsid w:val="0063694B"/>
    <w:rsid w:val="006416FC"/>
    <w:rsid w:val="0064528F"/>
    <w:rsid w:val="0065538C"/>
    <w:rsid w:val="00655680"/>
    <w:rsid w:val="0066278B"/>
    <w:rsid w:val="00664173"/>
    <w:rsid w:val="006648F4"/>
    <w:rsid w:val="00666C50"/>
    <w:rsid w:val="006708DF"/>
    <w:rsid w:val="00687056"/>
    <w:rsid w:val="006909B1"/>
    <w:rsid w:val="0069118D"/>
    <w:rsid w:val="006945A2"/>
    <w:rsid w:val="00696006"/>
    <w:rsid w:val="006A01E0"/>
    <w:rsid w:val="006B03B1"/>
    <w:rsid w:val="006B1633"/>
    <w:rsid w:val="006B73C1"/>
    <w:rsid w:val="006C1CED"/>
    <w:rsid w:val="006C3800"/>
    <w:rsid w:val="006C588B"/>
    <w:rsid w:val="006D4FFA"/>
    <w:rsid w:val="006D6208"/>
    <w:rsid w:val="006E0FAA"/>
    <w:rsid w:val="006E1BD7"/>
    <w:rsid w:val="007017A3"/>
    <w:rsid w:val="00702433"/>
    <w:rsid w:val="00703FB8"/>
    <w:rsid w:val="007049C5"/>
    <w:rsid w:val="00707A30"/>
    <w:rsid w:val="00715401"/>
    <w:rsid w:val="00721F64"/>
    <w:rsid w:val="007240A0"/>
    <w:rsid w:val="00733342"/>
    <w:rsid w:val="0073436F"/>
    <w:rsid w:val="00736F7B"/>
    <w:rsid w:val="0076069A"/>
    <w:rsid w:val="00760B0F"/>
    <w:rsid w:val="0076109E"/>
    <w:rsid w:val="00762261"/>
    <w:rsid w:val="00762A37"/>
    <w:rsid w:val="00780F7C"/>
    <w:rsid w:val="007817E0"/>
    <w:rsid w:val="00783464"/>
    <w:rsid w:val="00787376"/>
    <w:rsid w:val="00787A46"/>
    <w:rsid w:val="00793EAB"/>
    <w:rsid w:val="00795958"/>
    <w:rsid w:val="00795B0F"/>
    <w:rsid w:val="00797543"/>
    <w:rsid w:val="007A5104"/>
    <w:rsid w:val="007B4942"/>
    <w:rsid w:val="007C0C91"/>
    <w:rsid w:val="007C3283"/>
    <w:rsid w:val="007D23E2"/>
    <w:rsid w:val="007D7847"/>
    <w:rsid w:val="007E5C11"/>
    <w:rsid w:val="0081666C"/>
    <w:rsid w:val="00823E1D"/>
    <w:rsid w:val="00825221"/>
    <w:rsid w:val="00827F06"/>
    <w:rsid w:val="00834365"/>
    <w:rsid w:val="0084093A"/>
    <w:rsid w:val="008558D9"/>
    <w:rsid w:val="00857916"/>
    <w:rsid w:val="008601FE"/>
    <w:rsid w:val="008602D7"/>
    <w:rsid w:val="00861840"/>
    <w:rsid w:val="00865692"/>
    <w:rsid w:val="00871C9E"/>
    <w:rsid w:val="00874450"/>
    <w:rsid w:val="00875183"/>
    <w:rsid w:val="00881A4C"/>
    <w:rsid w:val="0089215D"/>
    <w:rsid w:val="00896BB9"/>
    <w:rsid w:val="008A1CAF"/>
    <w:rsid w:val="008A6194"/>
    <w:rsid w:val="008C6D5F"/>
    <w:rsid w:val="008D018D"/>
    <w:rsid w:val="008D3902"/>
    <w:rsid w:val="008D71E6"/>
    <w:rsid w:val="008E1DBE"/>
    <w:rsid w:val="008E3C61"/>
    <w:rsid w:val="008E569D"/>
    <w:rsid w:val="008F5326"/>
    <w:rsid w:val="0090096F"/>
    <w:rsid w:val="00905E17"/>
    <w:rsid w:val="00915819"/>
    <w:rsid w:val="00921C4F"/>
    <w:rsid w:val="00921D03"/>
    <w:rsid w:val="00944AC1"/>
    <w:rsid w:val="0095038A"/>
    <w:rsid w:val="00952E47"/>
    <w:rsid w:val="0095504F"/>
    <w:rsid w:val="009566BE"/>
    <w:rsid w:val="00960CB4"/>
    <w:rsid w:val="009622C1"/>
    <w:rsid w:val="00971C6F"/>
    <w:rsid w:val="00974F69"/>
    <w:rsid w:val="0097657F"/>
    <w:rsid w:val="00984BF4"/>
    <w:rsid w:val="00987257"/>
    <w:rsid w:val="00990260"/>
    <w:rsid w:val="00992FD1"/>
    <w:rsid w:val="0099345C"/>
    <w:rsid w:val="00993DE1"/>
    <w:rsid w:val="00994BEF"/>
    <w:rsid w:val="00997739"/>
    <w:rsid w:val="009A1172"/>
    <w:rsid w:val="009A1E92"/>
    <w:rsid w:val="009A25F5"/>
    <w:rsid w:val="009A2FE3"/>
    <w:rsid w:val="009A4FD3"/>
    <w:rsid w:val="009A7EC7"/>
    <w:rsid w:val="009B3E99"/>
    <w:rsid w:val="009B45C3"/>
    <w:rsid w:val="009B533A"/>
    <w:rsid w:val="009B5D0E"/>
    <w:rsid w:val="009C0B2C"/>
    <w:rsid w:val="009C3AE2"/>
    <w:rsid w:val="009C6F6F"/>
    <w:rsid w:val="009D305A"/>
    <w:rsid w:val="009E5B7A"/>
    <w:rsid w:val="009F3A71"/>
    <w:rsid w:val="009F7263"/>
    <w:rsid w:val="009F72FA"/>
    <w:rsid w:val="00A00C04"/>
    <w:rsid w:val="00A03103"/>
    <w:rsid w:val="00A14461"/>
    <w:rsid w:val="00A169B1"/>
    <w:rsid w:val="00A16F06"/>
    <w:rsid w:val="00A201E8"/>
    <w:rsid w:val="00A2504A"/>
    <w:rsid w:val="00A26676"/>
    <w:rsid w:val="00A26B26"/>
    <w:rsid w:val="00A27A03"/>
    <w:rsid w:val="00A445F0"/>
    <w:rsid w:val="00A46334"/>
    <w:rsid w:val="00A51BBA"/>
    <w:rsid w:val="00A54D6A"/>
    <w:rsid w:val="00A61127"/>
    <w:rsid w:val="00A77CFE"/>
    <w:rsid w:val="00A801C4"/>
    <w:rsid w:val="00A82014"/>
    <w:rsid w:val="00A83AF5"/>
    <w:rsid w:val="00A901CD"/>
    <w:rsid w:val="00A90C9D"/>
    <w:rsid w:val="00AA3DB3"/>
    <w:rsid w:val="00AA5F10"/>
    <w:rsid w:val="00AA6893"/>
    <w:rsid w:val="00AB09B7"/>
    <w:rsid w:val="00AB2D35"/>
    <w:rsid w:val="00AB751F"/>
    <w:rsid w:val="00AD47FF"/>
    <w:rsid w:val="00AD53A2"/>
    <w:rsid w:val="00AE1CD6"/>
    <w:rsid w:val="00AE3314"/>
    <w:rsid w:val="00AE348B"/>
    <w:rsid w:val="00AE3AAA"/>
    <w:rsid w:val="00AF6CD5"/>
    <w:rsid w:val="00B00A74"/>
    <w:rsid w:val="00B01C05"/>
    <w:rsid w:val="00B0287B"/>
    <w:rsid w:val="00B07F67"/>
    <w:rsid w:val="00B12D8E"/>
    <w:rsid w:val="00B137AC"/>
    <w:rsid w:val="00B14A08"/>
    <w:rsid w:val="00B16E25"/>
    <w:rsid w:val="00B21BEF"/>
    <w:rsid w:val="00B24B34"/>
    <w:rsid w:val="00B42985"/>
    <w:rsid w:val="00B452DC"/>
    <w:rsid w:val="00B52E8B"/>
    <w:rsid w:val="00B541E5"/>
    <w:rsid w:val="00B60780"/>
    <w:rsid w:val="00B610D4"/>
    <w:rsid w:val="00B6220A"/>
    <w:rsid w:val="00B64539"/>
    <w:rsid w:val="00B71AFF"/>
    <w:rsid w:val="00B76D4D"/>
    <w:rsid w:val="00B821DC"/>
    <w:rsid w:val="00B84057"/>
    <w:rsid w:val="00B86254"/>
    <w:rsid w:val="00B87948"/>
    <w:rsid w:val="00B91A45"/>
    <w:rsid w:val="00BC1A39"/>
    <w:rsid w:val="00BC2683"/>
    <w:rsid w:val="00BC349C"/>
    <w:rsid w:val="00BC39F2"/>
    <w:rsid w:val="00BE08A2"/>
    <w:rsid w:val="00BE24E8"/>
    <w:rsid w:val="00BE33F4"/>
    <w:rsid w:val="00BE5B5A"/>
    <w:rsid w:val="00C10798"/>
    <w:rsid w:val="00C144E6"/>
    <w:rsid w:val="00C21152"/>
    <w:rsid w:val="00C351A3"/>
    <w:rsid w:val="00C353C5"/>
    <w:rsid w:val="00C355A1"/>
    <w:rsid w:val="00C36125"/>
    <w:rsid w:val="00C42A5D"/>
    <w:rsid w:val="00C43C8C"/>
    <w:rsid w:val="00C45076"/>
    <w:rsid w:val="00C53382"/>
    <w:rsid w:val="00C53F26"/>
    <w:rsid w:val="00C56905"/>
    <w:rsid w:val="00C63E70"/>
    <w:rsid w:val="00C66A0C"/>
    <w:rsid w:val="00C75F06"/>
    <w:rsid w:val="00C8455E"/>
    <w:rsid w:val="00C8756D"/>
    <w:rsid w:val="00C92066"/>
    <w:rsid w:val="00CA02A0"/>
    <w:rsid w:val="00CA3B67"/>
    <w:rsid w:val="00CA721D"/>
    <w:rsid w:val="00CB45A6"/>
    <w:rsid w:val="00CB551D"/>
    <w:rsid w:val="00CB56B8"/>
    <w:rsid w:val="00CD4BD0"/>
    <w:rsid w:val="00CD60D7"/>
    <w:rsid w:val="00CF0723"/>
    <w:rsid w:val="00CF09D0"/>
    <w:rsid w:val="00CF394E"/>
    <w:rsid w:val="00CF39CD"/>
    <w:rsid w:val="00D0734A"/>
    <w:rsid w:val="00D14116"/>
    <w:rsid w:val="00D16140"/>
    <w:rsid w:val="00D17367"/>
    <w:rsid w:val="00D22E35"/>
    <w:rsid w:val="00D36658"/>
    <w:rsid w:val="00D37746"/>
    <w:rsid w:val="00D40C99"/>
    <w:rsid w:val="00D411E9"/>
    <w:rsid w:val="00D46520"/>
    <w:rsid w:val="00D53FB7"/>
    <w:rsid w:val="00D60AC2"/>
    <w:rsid w:val="00D63F5D"/>
    <w:rsid w:val="00D7393E"/>
    <w:rsid w:val="00D85723"/>
    <w:rsid w:val="00D86E90"/>
    <w:rsid w:val="00DB3871"/>
    <w:rsid w:val="00DB6EC8"/>
    <w:rsid w:val="00DC2CBB"/>
    <w:rsid w:val="00DC384E"/>
    <w:rsid w:val="00DC3B6B"/>
    <w:rsid w:val="00DD06E8"/>
    <w:rsid w:val="00DD4CA6"/>
    <w:rsid w:val="00DD5044"/>
    <w:rsid w:val="00DD6737"/>
    <w:rsid w:val="00DD7F1A"/>
    <w:rsid w:val="00DE7B7C"/>
    <w:rsid w:val="00E04BA7"/>
    <w:rsid w:val="00E06BA5"/>
    <w:rsid w:val="00E141A9"/>
    <w:rsid w:val="00E21EA2"/>
    <w:rsid w:val="00E25E06"/>
    <w:rsid w:val="00E31A98"/>
    <w:rsid w:val="00E33FC5"/>
    <w:rsid w:val="00E355DA"/>
    <w:rsid w:val="00E426AD"/>
    <w:rsid w:val="00E47EFA"/>
    <w:rsid w:val="00E552A5"/>
    <w:rsid w:val="00E742C4"/>
    <w:rsid w:val="00E76687"/>
    <w:rsid w:val="00E76E48"/>
    <w:rsid w:val="00E77D9F"/>
    <w:rsid w:val="00E841E2"/>
    <w:rsid w:val="00E943ED"/>
    <w:rsid w:val="00E9480A"/>
    <w:rsid w:val="00EA388C"/>
    <w:rsid w:val="00EA4319"/>
    <w:rsid w:val="00EA55C7"/>
    <w:rsid w:val="00EB23E1"/>
    <w:rsid w:val="00EB2BBF"/>
    <w:rsid w:val="00EB3915"/>
    <w:rsid w:val="00EB3A4D"/>
    <w:rsid w:val="00EB54D6"/>
    <w:rsid w:val="00EC6F20"/>
    <w:rsid w:val="00ED1607"/>
    <w:rsid w:val="00EE16A1"/>
    <w:rsid w:val="00EE19E5"/>
    <w:rsid w:val="00EE1F39"/>
    <w:rsid w:val="00EE209F"/>
    <w:rsid w:val="00EF1FDD"/>
    <w:rsid w:val="00EF43B3"/>
    <w:rsid w:val="00EF5772"/>
    <w:rsid w:val="00EF59D7"/>
    <w:rsid w:val="00EF6EE8"/>
    <w:rsid w:val="00EF7909"/>
    <w:rsid w:val="00F00A96"/>
    <w:rsid w:val="00F06688"/>
    <w:rsid w:val="00F12A9D"/>
    <w:rsid w:val="00F31151"/>
    <w:rsid w:val="00F42231"/>
    <w:rsid w:val="00F42C5D"/>
    <w:rsid w:val="00F434F7"/>
    <w:rsid w:val="00F5095E"/>
    <w:rsid w:val="00F5758B"/>
    <w:rsid w:val="00F64246"/>
    <w:rsid w:val="00F6771A"/>
    <w:rsid w:val="00F7684D"/>
    <w:rsid w:val="00F80133"/>
    <w:rsid w:val="00F803C2"/>
    <w:rsid w:val="00F82D7A"/>
    <w:rsid w:val="00F845E0"/>
    <w:rsid w:val="00F86788"/>
    <w:rsid w:val="00F95633"/>
    <w:rsid w:val="00F95C01"/>
    <w:rsid w:val="00F971F0"/>
    <w:rsid w:val="00FA1FFC"/>
    <w:rsid w:val="00FA5007"/>
    <w:rsid w:val="00FA5823"/>
    <w:rsid w:val="00FA6096"/>
    <w:rsid w:val="00FA7396"/>
    <w:rsid w:val="00FB4711"/>
    <w:rsid w:val="00FB6E59"/>
    <w:rsid w:val="00FB7604"/>
    <w:rsid w:val="00FC3C73"/>
    <w:rsid w:val="00FD5608"/>
    <w:rsid w:val="00FE0930"/>
    <w:rsid w:val="00FE46EA"/>
    <w:rsid w:val="00FF1F8B"/>
    <w:rsid w:val="00FF2E42"/>
    <w:rsid w:val="097F721B"/>
    <w:rsid w:val="21033DFA"/>
    <w:rsid w:val="2F6F3DC0"/>
    <w:rsid w:val="38B92A67"/>
    <w:rsid w:val="58C3522C"/>
    <w:rsid w:val="5D12778A"/>
    <w:rsid w:val="66E82EFC"/>
    <w:rsid w:val="693D2DC5"/>
    <w:rsid w:val="7BA50FF9"/>
    <w:rsid w:val="7F6A196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styleId="9">
    <w:name w:val="page number"/>
    <w:basedOn w:val="7"/>
    <w:semiHidden/>
    <w:unhideWhenUsed/>
    <w:qFormat/>
    <w:uiPriority w:val="0"/>
  </w:style>
  <w:style w:type="paragraph" w:customStyle="1" w:styleId="10">
    <w:name w:val="列出段落1"/>
    <w:basedOn w:val="1"/>
    <w:qFormat/>
    <w:uiPriority w:val="34"/>
    <w:pPr>
      <w:ind w:firstLine="420" w:firstLineChars="200"/>
    </w:pPr>
  </w:style>
  <w:style w:type="character" w:customStyle="1" w:styleId="11">
    <w:name w:val="页眉 Char"/>
    <w:basedOn w:val="7"/>
    <w:link w:val="4"/>
    <w:semiHidden/>
    <w:qFormat/>
    <w:uiPriority w:val="99"/>
    <w:rPr>
      <w:rFonts w:ascii="Times New Roman" w:hAnsi="Times New Roman" w:eastAsia="宋体" w:cs="Times New Roman"/>
      <w:sz w:val="18"/>
      <w:szCs w:val="18"/>
    </w:rPr>
  </w:style>
  <w:style w:type="character" w:customStyle="1" w:styleId="12">
    <w:name w:val="页脚 Char"/>
    <w:basedOn w:val="7"/>
    <w:link w:val="3"/>
    <w:semiHidden/>
    <w:uiPriority w:val="99"/>
    <w:rPr>
      <w:rFonts w:ascii="Times New Roman" w:hAnsi="Times New Roman" w:eastAsia="宋体" w:cs="Times New Roman"/>
      <w:sz w:val="18"/>
      <w:szCs w:val="18"/>
    </w:rPr>
  </w:style>
  <w:style w:type="character" w:customStyle="1" w:styleId="13">
    <w:name w:val="标题 1 Char"/>
    <w:basedOn w:val="7"/>
    <w:link w:val="2"/>
    <w:qFormat/>
    <w:uiPriority w:val="9"/>
    <w:rPr>
      <w:rFonts w:ascii="宋体" w:hAnsi="宋体" w:cs="宋体"/>
      <w:b/>
      <w:bCs/>
      <w:kern w:val="36"/>
      <w:sz w:val="48"/>
      <w:szCs w:val="48"/>
    </w:rPr>
  </w:style>
  <w:style w:type="paragraph" w:customStyle="1" w:styleId="14">
    <w:name w:val="p"/>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1287FD-C24A-43BD-8DCE-E285808D1F1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551</Words>
  <Characters>3147</Characters>
  <Lines>26</Lines>
  <Paragraphs>7</Paragraphs>
  <TotalTime>1</TotalTime>
  <ScaleCrop>false</ScaleCrop>
  <LinksUpToDate>false</LinksUpToDate>
  <CharactersWithSpaces>3691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2019-09-24T13:35:00Z</dcterms:created>
  <dc:creator>qi pan</dc:creator>
  <cp:lastModifiedBy>user</cp:lastModifiedBy>
  <dcterms:modified xsi:type="dcterms:W3CDTF">2019-12-10T01:59:56Z</dcterms:modified>
  <dc:title>上海国资</dc:title>
  <cp:revision>380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