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35</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10</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23</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进博倒计时</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上海国资国企全力以赴迎接进博盛会</w:t>
      </w:r>
    </w:p>
    <w:p>
      <w:pPr>
        <w:widowControl/>
        <w:numPr>
          <w:ilvl w:val="-1"/>
          <w:numId w:val="0"/>
        </w:numPr>
        <w:ind w:firstLine="640" w:firstLineChars="200"/>
        <w:jc w:val="left"/>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在昵称为“四叶草”的国家会展中心（上海），第六届中国国际进口博览会将如约而至</w:t>
      </w:r>
      <w:bookmarkStart w:id="0" w:name="_GoBack"/>
      <w:bookmarkEnd w:id="0"/>
      <w:r>
        <w:rPr>
          <w:rFonts w:hint="eastAsia" w:ascii="Times New Roman" w:hAnsi="Times New Roman" w:eastAsia="仿宋_GB2312" w:cs="宋体"/>
          <w:i w:val="0"/>
          <w:caps w:val="0"/>
          <w:color w:val="auto"/>
          <w:spacing w:val="0"/>
          <w:sz w:val="32"/>
          <w:szCs w:val="32"/>
          <w:shd w:val="clear"/>
          <w:lang w:eastAsia="zh-CN" w:bidi="ar"/>
        </w:rPr>
        <w:t>，这将是新冠疫情后进博会首次全面恢复线下办展。上海国资国企</w:t>
      </w:r>
      <w:r>
        <w:rPr>
          <w:rFonts w:hint="eastAsia" w:ascii="Times New Roman" w:hAnsi="Times New Roman" w:eastAsia="仿宋_GB2312" w:cs="宋体"/>
          <w:i w:val="0"/>
          <w:iCs w:val="0"/>
          <w:caps w:val="0"/>
          <w:color w:val="000000"/>
          <w:spacing w:val="0"/>
          <w:kern w:val="0"/>
          <w:sz w:val="32"/>
          <w:szCs w:val="32"/>
          <w:shd w:val="clear" w:fill="auto"/>
          <w:lang w:val="en-US" w:eastAsia="zh-CN" w:bidi="ar"/>
        </w:rPr>
        <w:t>主动作为，做好各项服务保障工作，</w:t>
      </w:r>
      <w:r>
        <w:rPr>
          <w:rFonts w:hint="eastAsia" w:ascii="Times New Roman" w:hAnsi="Times New Roman" w:eastAsia="仿宋_GB2312" w:cs="宋体"/>
          <w:i w:val="0"/>
          <w:caps w:val="0"/>
          <w:color w:val="auto"/>
          <w:spacing w:val="0"/>
          <w:sz w:val="32"/>
          <w:szCs w:val="32"/>
          <w:shd w:val="clear"/>
          <w:lang w:eastAsia="zh-CN" w:bidi="ar"/>
        </w:rPr>
        <w:t>全力以赴迎接盛会。</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东方国际</w:t>
      </w:r>
      <w:r>
        <w:rPr>
          <w:rFonts w:hint="eastAsia" w:ascii="Times New Roman" w:hAnsi="Times New Roman" w:eastAsia="仿宋_GB2312" w:cs="宋体"/>
          <w:i w:val="0"/>
          <w:caps w:val="0"/>
          <w:color w:val="auto"/>
          <w:spacing w:val="0"/>
          <w:sz w:val="32"/>
          <w:szCs w:val="32"/>
          <w:shd w:val="clear"/>
          <w:lang w:eastAsia="zh-CN" w:bidi="ar"/>
        </w:rPr>
        <w:t>携手来自43个国家地区的优质展商展品，覆盖6大展区及创新孵化专区，全方位展现“集成全球资源，引领美好生活”。东方国际将在综合食品展区集中呈现30余个国家地区的优质展商展品，全方位体现“全球精品，东方直采”，并有“国际友城港”和“中欧班列进博号”等项目成果综合展示，展中还将邀请多国驻华使节莅临展位交流互动推荐本国优秀产品。</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光明食品集团</w:t>
      </w:r>
      <w:r>
        <w:rPr>
          <w:rFonts w:hint="eastAsia" w:ascii="Times New Roman" w:hAnsi="Times New Roman" w:eastAsia="仿宋_GB2312" w:cs="宋体"/>
          <w:i w:val="0"/>
          <w:caps w:val="0"/>
          <w:color w:val="auto"/>
          <w:spacing w:val="0"/>
          <w:sz w:val="32"/>
          <w:szCs w:val="32"/>
          <w:shd w:val="clear"/>
          <w:lang w:eastAsia="zh-CN" w:bidi="ar"/>
        </w:rPr>
        <w:t>将继续以参展商、采购商、服务商的身份，全方位、全领域、全渠道参与第六届进博会。光明食品集团旗下良友集团将以城市厨房为主导，以物业、商业、出行等服务为协同，构建“产业+服务”融合共生的生态圈，让光明产品服务于更多的消费场景，更好地满足不同消费者。</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绿地集团</w:t>
      </w:r>
      <w:r>
        <w:rPr>
          <w:rFonts w:hint="eastAsia" w:ascii="Times New Roman" w:hAnsi="Times New Roman" w:eastAsia="仿宋_GB2312" w:cs="宋体"/>
          <w:i w:val="0"/>
          <w:caps w:val="0"/>
          <w:color w:val="auto"/>
          <w:spacing w:val="0"/>
          <w:sz w:val="32"/>
          <w:szCs w:val="32"/>
          <w:shd w:val="clear"/>
          <w:lang w:eastAsia="zh-CN" w:bidi="ar"/>
        </w:rPr>
        <w:t>助力海外客商开拓中国市场，焕新升级进博集市。作为连续多届的进博会组展商，绿地集团将组织30多个国家和地区约500个海外品牌的商品登陆食品和消费品展区。绿地贸易港集团将持续扮演好海外资源进入中国“中转站”的角色，围绕进口商品打造“采、进、展、销、育”等产业链核心功能，打造和完善“展品变商品、参展商变投资商”的最短链路，放大进博溢出效应。</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上海建工</w:t>
      </w:r>
      <w:r>
        <w:rPr>
          <w:rFonts w:hint="eastAsia" w:ascii="Times New Roman" w:hAnsi="Times New Roman" w:eastAsia="仿宋_GB2312" w:cs="宋体"/>
          <w:i w:val="0"/>
          <w:caps w:val="0"/>
          <w:color w:val="auto"/>
          <w:spacing w:val="0"/>
          <w:sz w:val="32"/>
          <w:szCs w:val="32"/>
          <w:shd w:val="clear"/>
          <w:lang w:eastAsia="zh-CN" w:bidi="ar"/>
        </w:rPr>
        <w:t>作为国家会展中心的建筑设施服务商，再次承担肩负起庞大的运维保障任务，以一以贯之、精益求精的服务状态，提升和优化总建筑面积约155万平方米的国展中心内设施设备水电风、弱电、基建系统的稳定性、可靠性和便捷性。</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久事集团</w:t>
      </w:r>
      <w:r>
        <w:rPr>
          <w:rFonts w:hint="eastAsia" w:ascii="Times New Roman" w:hAnsi="Times New Roman" w:eastAsia="仿宋_GB2312" w:cs="宋体"/>
          <w:i w:val="0"/>
          <w:caps w:val="0"/>
          <w:color w:val="auto"/>
          <w:spacing w:val="0"/>
          <w:sz w:val="32"/>
          <w:szCs w:val="32"/>
          <w:shd w:val="clear"/>
          <w:lang w:eastAsia="zh-CN" w:bidi="ar"/>
        </w:rPr>
        <w:t>提升营运车辆服务能级，全力保障乘客出行体验。今年进博会出租汽车总运力规模约21000辆次，供车数较上届增加约27%，达到历届最高。进一步细化公交保障措施，做好三大区域89条公交线路常规保障，制定“2+3+8”模式的保障方案，乘客可凭有效证件免费乘坐专线及接驳车。将上线“进博会停车预约系统”，通过“登记分配+自由预约”两种方式对外提供停车预约服务。（上海市国资委）</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东方国际运营的“中欧班列—上海号”</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助力放大进博会溢出效应</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随着共建“一带一路”的深入推进，“中欧班列”正开行到更广阔的亚欧大陆。近日，东方国际运营的“中欧班列-上海号”慕尼黑首列从铁路闵行货运站出发，17天里途经6个国家，开行11000公里后抵达德国慕尼黑。</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中欧班列-上海号”开行两年多以来，已经实现了中欧线、中俄线、中亚线三大中欧班列主要线路的全覆盖，境内西通道、东通道、中通道三大中欧班列主要通道的全打通，联通欧亚9个国家的60余个城市和站点，并通过这些站点辐射欧亚其他国家。</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此次“中欧班列-上海号”组织开行首趟直达列车到德国慕尼黑，标志着上海始发终到的中欧班列，在常态化运行上海至汉堡、莫斯科、马拉舍维奇、阿腾科里等多条线路的基础上，又开通了一条新的线路，在更大范围构建起了上海连通亚欧的国际物流大通道。</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“中欧班列-上海号”慕尼黑首列共计55个40尺集装箱（110TEU），其中44车发往慕尼黑，11车发往杜伊斯堡。这趟专列包含了7条高端工业生产线的生成专线设备，总货值高达2700万美元。</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今年是“一带一路”倡议提出的十周年，也是“中欧班列-上海号”开行的两周年，从2021年9月28日首列开行至今，东方丝路已经运营了140多列中欧班列，将价值45亿多元的货物安全传送于欧亚大陆之间。从初期的服装鞋帽、玻璃器皿、汽车配件等低附加值商品，“上海号”运载的货品已逐步转向光伏组件、液晶平板、摩托车、电梯等高附加值商品。此次慕尼黑首列更是搭载了高货值的高端工业产业线设备，成为了产业转型升级的一个缩影。</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未来，“中欧班列-上海号”的开行密度有望继续提高，运量也会有所突破。东方国际将持续为上海发挥“一带一路”桥头堡作用增添助力，传递出上海坚定不移推动高水平对外开放的声音。（东方国际）</w:t>
      </w:r>
    </w:p>
    <w:p>
      <w:pPr>
        <w:pStyle w:val="2"/>
        <w:rPr>
          <w:rFonts w:hint="eastAsia"/>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钍基熔盐实验堆于甘肃武威建成</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上海建工将与中科院上海应物所继续深入合作</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近日，钍基熔盐实验堆在甘肃武威建成，标志着一个全新的先进核能产业链的初步形成。</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上世纪七十年代初，上海应用物理研究所曾参加“七二八</w:t>
      </w:r>
      <w:r>
        <w:rPr>
          <w:rFonts w:hint="eastAsia" w:ascii="Times New Roman" w:hAnsi="Times New Roman" w:eastAsia="仿宋_GB2312" w:cs="宋体"/>
          <w:i w:val="0"/>
          <w:caps w:val="0"/>
          <w:color w:val="auto"/>
          <w:spacing w:val="0"/>
          <w:sz w:val="32"/>
          <w:szCs w:val="32"/>
          <w:shd w:val="clear"/>
          <w:lang w:eastAsia="zh-CN" w:bidi="ar"/>
        </w:rPr>
        <w:t>”工程</w:t>
      </w:r>
      <w:r>
        <w:rPr>
          <w:rFonts w:hint="default" w:ascii="Times New Roman" w:hAnsi="Times New Roman" w:eastAsia="仿宋_GB2312" w:cs="宋体"/>
          <w:i w:val="0"/>
          <w:caps w:val="0"/>
          <w:color w:val="auto"/>
          <w:spacing w:val="0"/>
          <w:sz w:val="32"/>
          <w:szCs w:val="32"/>
          <w:shd w:val="clear"/>
          <w:lang w:eastAsia="zh-CN" w:bidi="ar"/>
        </w:rPr>
        <w:t>并先后建成了熔盐堆零功率冷态实验堆和轻水零功率实验堆。2011年，中国科学院部署战略性先导科技专项，由上海应用物理研究所牵头重启TMSR研发，组建了世界上最大的钍基熔盐堆研发队伍，突破核心关键技术，建立了系列实验台架，建成2MW实验堆。“钍基熔盐堆核能系统研发”入选中国科学院改革开放四十年40项标志性科技成果，国际评价“中国正引领全球熔盐堆研发”。</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2021年4月上海建工成立核能工程建设指挥部</w:t>
      </w:r>
      <w:r>
        <w:rPr>
          <w:rFonts w:hint="eastAsia" w:ascii="Times New Roman" w:hAnsi="Times New Roman" w:eastAsia="仿宋_GB2312" w:cs="宋体"/>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今年钍基熔盐实验堆工程迎来新的重大进展，生态环境部官网显示，位于甘肃省武威市的2MWt液态燃料钍基熔盐实验堆已于今年6月获得由国家核安全局颁发的运行许可证，这也表明自主第四代先进核能研发迎来重要节点。根据现行核安全法规，获取运行许可证后，上述实验堆即可进行首次装料，由此进入“带核运行”状态。但在装料后，核工程还必须经历一系列调试和试运行过程，正式运行仍需时日。</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上海建工将始终坚持科技引领，持续与上海应用物理所深入合作，共同推进国家核能技术发展和产业链布局，在重大科技工程和关键技术攻关方面持续发力，为国家能源与可持续发展战略做出贡献。（上海建工）</w:t>
      </w:r>
    </w:p>
    <w:p>
      <w:pPr>
        <w:pStyle w:val="2"/>
        <w:rPr>
          <w:rFonts w:hint="default"/>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申能旗下申能财务落地上海地区首单碳减排激励贷款</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双碳”战略引领下，申能集团深入践行绿色金融理念，积极探索绿色金融创新。近日，申能集团财务有限公司（以下简称：申能财务公司）为集团能服申欣山西桃园瓦斯发电项目发放了首笔2000万元“减碳贷”碳减排激励贷款，成为上海地区金融机构同类绿色金融创新信贷产品首单。</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近年来，申能能金部以专注能源产业链上的金融价值创造为使命，围绕集团能源主业，强化金融服务功能。此次申能财务公司发放的碳减排激励贷款以集团低碳能源工程项目建设为投向，以保障项目顺利达产、促进减少碳排放为目标，以对项目社会效益和经济效益的综合考量为抓手，为符合条件的碳减排能源项目在信贷规模、利率定价、审批通道等方面提供资源倾斜。在具体的设计实施过程中，体现了两方面特点：</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创新设计贷款定价模型</w:t>
      </w:r>
      <w:r>
        <w:rPr>
          <w:rFonts w:hint="default" w:ascii="Times New Roman" w:hAnsi="Times New Roman" w:eastAsia="仿宋_GB2312" w:cs="宋体"/>
          <w:i w:val="0"/>
          <w:caps w:val="0"/>
          <w:color w:val="auto"/>
          <w:spacing w:val="0"/>
          <w:sz w:val="32"/>
          <w:szCs w:val="32"/>
          <w:shd w:val="clear"/>
          <w:lang w:eastAsia="zh-CN" w:bidi="ar"/>
        </w:rPr>
        <w:t xml:space="preserve">。申能财务公司在原FTP贷款定价机制基础上综合考量该项目的碳减排效应，创新设计了充分体现可量化碳减排效应并与之挂钩的贷款定价模型，通过将项目不同达产率情形下的碳减排情况与贷款定价关联，激励项目优化运营管理，提高生产效率，实现项目达产能力和碳减排效应共同提升。 </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积极发挥内部协同优势</w:t>
      </w:r>
      <w:r>
        <w:rPr>
          <w:rFonts w:hint="default" w:ascii="Times New Roman" w:hAnsi="Times New Roman" w:eastAsia="仿宋_GB2312" w:cs="宋体"/>
          <w:i w:val="0"/>
          <w:caps w:val="0"/>
          <w:color w:val="auto"/>
          <w:spacing w:val="0"/>
          <w:sz w:val="32"/>
          <w:szCs w:val="32"/>
          <w:shd w:val="clear"/>
          <w:lang w:eastAsia="zh-CN" w:bidi="ar"/>
        </w:rPr>
        <w:t>。申能财务公司与同属申能能金部系统的申能碳科技公司共同围绕项目碳方法学、基准线选择、减排因子确定等方面展开研究合作，为贷款首次定价和周期重定价提供碳减排成效的定量依据，以确保对项目碳减排量核算的专业性和准确性。</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据悉，在获得该笔碳减排激励贷款支持后，能服申欣山西桃园瓦斯发电项目投产后预计每年可减少温室气体排放（折算二氧化碳）超过30万吨，同时也为绿色金融产品推动实体产业发展、提升碳减排实效提供创新思路和新的解决方案。</w:t>
      </w:r>
      <w:r>
        <w:rPr>
          <w:rFonts w:hint="eastAsia" w:ascii="Times New Roman" w:hAnsi="Times New Roman" w:eastAsia="仿宋_GB2312" w:cs="宋体"/>
          <w:i w:val="0"/>
          <w:caps w:val="0"/>
          <w:color w:val="auto"/>
          <w:spacing w:val="0"/>
          <w:sz w:val="32"/>
          <w:szCs w:val="32"/>
          <w:shd w:val="clear"/>
          <w:lang w:eastAsia="zh-CN" w:bidi="ar"/>
        </w:rPr>
        <w:t>（申能集团）</w:t>
      </w:r>
    </w:p>
    <w:p>
      <w:pPr>
        <w:pStyle w:val="2"/>
        <w:rPr>
          <w:rFonts w:hint="default"/>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上汽集团获我国卫星导航技术领域科学技术奖</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2023年度卫星导航定位科技进步奖是经国家科学技术部批准登记的全国性社会力量科学技术奖，由中国卫星导航定位协会设立。该奖项也是我国卫星导航技术领域唯一设置的科学技术奖。近日，2023年度卫星导航定位科技进步奖获奖名单揭晓，上汽集团创新研究开发总院（上汽集团技术中心）“基于北斗/多传感器融合的车载无缝定位技术”获得特等奖，是首家获得该项荣誉的车企。</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当前，传统汽车行业正经历着前所未有的转型升级，电动化、智能化发展日益迅猛。通过“在天上”的北斗卫星导航系统，结合“在地上”的车载智能传感器，可以实时计算车辆厘米级位置信息，成为打造智能汽车的重要技术之一。</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2016年，上汽集团推出全球首款互联网汽车荣威RX5，首次将北斗卫星导航系统应用于互联网汽车的导航功能，用户可以通过语音搜索目的地及选择行车路线，提升驾驶安全性。2017年，上汽集团联合深圳华大北斗自主研制车规级双频北斗导航定位芯片和车载高精度北斗定位软件等功能模块。</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2020年7月，北斗三号全球卫星导航系统正式开通，这对上汽研发总院智驾团队是一个重大契机。经过多轮次的研发和验证，一套包含双频北斗导航定位芯片、惯性测量单元、地图、里程计及视觉等传感器在内的“北斗/多传感器融合智能驾驶方案”浮出水面。在车载卫惯定位模组上，上汽研发总院进一步研发了车规级高精度双频北斗/惯性一体式定位模组，填补了国产车规级高精度双频卫星/惯性定位模组的空白。2021年，上汽集团旗下科创小巨人联创汽车电子开始参与到北斗/多传感器融合智能驾驶方案中，加速了该方案的量产应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此外，在L4级无人驾驶出租车上，上汽Robotaxi通过北斗卫星导航系统，实现厘米级高精定位，定位系统稳定性显著提升。目前，上汽享道Robotaxi已在上海嘉定、临港和苏州相城等区域实现运营，完成真实用户自动驾驶出行订单超过20万单。（上汽集团）</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上港集团哪吒科技牵头制定的</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全国首个F5G港口远控团体技术标准发布</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上港集团下属哪吒港航智慧科技（上海）有限公司牵头制定的中国港口协会团体标准《集装箱起重机远程控制F5G网络系统技术要求》正式发布。该团体标准是港口行业首个集装箱起重机远程控制网络技术标准，填补了集装箱起重机远程控制网络技术领域建设标准空白，标准内容科学先进、指导性强，对提升港口智慧化程度意义重大。</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集装箱起重机远程控制F5G网络技术要求》科学确定了集装箱起重机远程控制F5G网络系统的系统构成和技术指标等要求，规范了智慧港口起重机远程控制全光网络的建设，有效指导集装箱起重机F5G远程控制网络的建设，有助于全面提升智慧港口网络基础设施工程的建设质量。</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相比传统工业网络，F5G全光工业网络采用硬管道技术，能够提供确定性低时延，并且带宽可动态按需调整，保证起重机远程控制实时稳定，保证视频画面零卡顿；全光工业网络采用双总线架构全路径冗余保护，链路故障30ms自愈，实现业务零中断；全光工业网络光纤直达机器，网络5层变2层，支持PLC&amp;摄像头ONU端口盲插，网络简单易维护。</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目前，F5G全光工业网络已经在上海、宁波、天津、北部湾等地的港口部署。产业上下游正在持续加大F5G全光工业网络的投入，港口智慧化示范场景也在不断丰富，在创新科技的催化下，港口智能化设施日趋完善，智慧港口的综合竞争力不断提升。</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该团体标准的正式发布，将给上港集团带来新的发展契机。上港集团将以标准引领厚植行业发展之基，以创新筑牢行业发展之本，借助标准推广加强行业内的交流合作，汇聚各方合力，强化优势互补，通过持续加强团体标准的推广应用，助力智慧港口行业走稳高质量、可持续的良性发展之路。（上港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25750"/>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808D1"/>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82</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2022-12-31T17:47:00Z</dcterms:created>
  <dc:creator>user</dc:creator>
  <cp:lastModifiedBy>WPS_1622794468</cp:lastModifiedBy>
  <cp:lastPrinted>2023-10-09T15:42:00Z</cp:lastPrinted>
  <dcterms:modified xsi:type="dcterms:W3CDTF">2023-10-23T08:59:51Z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A5B83B59DBE8968E56B12F65C4719E13</vt:lpwstr>
  </property>
</Properties>
</file>