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2"/>
          <w:szCs w:val="2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用户权限申请表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申请单位                   （盖章）            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   申请日期：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年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月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日</w:t>
      </w:r>
    </w:p>
    <w:tbl>
      <w:tblPr>
        <w:tblStyle w:val="2"/>
        <w:tblW w:w="141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6"/>
        <w:gridCol w:w="1186"/>
        <w:gridCol w:w="842"/>
        <w:gridCol w:w="992"/>
        <w:gridCol w:w="1305"/>
        <w:gridCol w:w="1100"/>
        <w:gridCol w:w="780"/>
        <w:gridCol w:w="670"/>
        <w:gridCol w:w="1100"/>
        <w:gridCol w:w="750"/>
        <w:gridCol w:w="1060"/>
        <w:gridCol w:w="1020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与国家出资企业关系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归属集团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产权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级次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管理级次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所属部门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手机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产权登记管理职责范围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系统用户角色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napToGrid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产权管理处负责人审核意见：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审核时间：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 年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月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sectPr>
          <w:pgSz w:w="16838" w:h="11906" w:orient="landscape"/>
          <w:pgMar w:top="1134" w:right="1440" w:bottom="1134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napToGrid/>
          <w:kern w:val="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napToGrid/>
          <w:kern w:val="2"/>
          <w:sz w:val="22"/>
          <w:szCs w:val="2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napToGrid/>
          <w:kern w:val="2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right="0" w:rightChars="0" w:firstLine="126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1.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“企业名称”填写开户企业/单位的名称；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561" w:right="0" w:rightChars="0" w:firstLine="70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2.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“与国家出资企业关系”填写该企业与集团的出资关系，选填全资、控股、实际控制；集团本身不用填写。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right="0" w:rightChars="0" w:firstLine="126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3.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“归属集团”填写集团全称。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561" w:right="0" w:rightChars="0" w:firstLine="70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4.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“产权级次”按照产权出资关系填写，市国资委/委托监管单位/区国资委直接出资企业为1级，再出资企业为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2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级，以此类推。委托监管单位/区国资委不填。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561" w:right="0" w:rightChars="0" w:firstLine="70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5.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“管理级次”按照集团管理级次填写，市国资委/委托监管单位/区国资委监管企业为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1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级，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1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级企业所直接管理企业为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2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级，以此类推。市国资委直接出资企业为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1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级。委托监管单位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/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区国资委不填。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right="0" w:rightChars="0" w:firstLine="126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6.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“姓名”“所属部门”“职务”“邮箱”“电话”“手机”为所开户使用人员的基本信息。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561" w:right="0" w:rightChars="0" w:firstLine="700"/>
        <w:jc w:val="left"/>
        <w:textAlignment w:val="auto"/>
        <w:outlineLvl w:val="9"/>
        <w:rPr>
          <w:rFonts w:hint="eastAsia" w:ascii="宋体" w:hAnsi="宋体" w:eastAsia="宋体" w:cs="宋体"/>
          <w:snapToGrid/>
          <w:kern w:val="2"/>
          <w:sz w:val="22"/>
          <w:szCs w:val="22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7.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产权登记管理职责范围”可以在以下范围内选填一个或多个：企业登记填报、企业登记审核上报（非集团）、集团产权登记经办、集团终审、登记数据查询、登记档案管理、打印登记表及发放、其他（请说明）、委托监管单位、区国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00" w:lineRule="exact"/>
        <w:ind w:left="561" w:right="0" w:rightChars="0" w:firstLine="70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2"/>
          <w:szCs w:val="22"/>
        </w:rPr>
        <w:t>8.</w:t>
      </w:r>
      <w:r>
        <w:rPr>
          <w:rFonts w:hint="eastAsia" w:ascii="宋体" w:hAnsi="宋体" w:eastAsia="宋体" w:cs="宋体"/>
          <w:snapToGrid/>
          <w:kern w:val="2"/>
          <w:sz w:val="22"/>
          <w:szCs w:val="22"/>
          <w:lang w:eastAsia="zh-CN"/>
        </w:rPr>
        <w:t>“系统用户角色”可以在以下范围内选填一个或多个：委托监管单位、区国资委、集团产权登记经办人、集团产权登记审核人、企业登记填报、企业登记审核上报（非集团）、所属企业数据查询、打印登记表。</w:t>
      </w:r>
    </w:p>
    <w:p>
      <w:pPr>
        <w:spacing w:line="400" w:lineRule="exact"/>
        <w:jc w:val="left"/>
        <w:rPr>
          <w:rFonts w:ascii="宋体" w:hAnsi="宋体" w:eastAsia="宋体" w:cs="宋体"/>
          <w:color w:val="00000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C44"/>
    <w:rsid w:val="7D3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2021-11-16T04:26:00Z</dcterms:created>
  <dc:creator>user</dc:creator>
  <cp:lastModifiedBy>user</cp:lastModifiedBy>
  <dcterms:modified xsi:type="dcterms:W3CDTF">2021-11-16T04:27:03Z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