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40" w:lineRule="exact"/>
        <w:ind w:left="0" w:leftChars="0" w:right="0" w:firstLine="0" w:firstLineChars="0"/>
        <w:jc w:val="center"/>
        <w:textAlignment w:val="auto"/>
        <w:outlineLvl w:val="9"/>
        <w:rPr>
          <w:rFonts w:hint="default" w:ascii="Times New Roman" w:hAnsi="Times New Roman" w:eastAsia="华文中宋" w:cs="Times New Roman"/>
          <w:sz w:val="36"/>
          <w:szCs w:val="36"/>
          <w:lang w:val="en-US" w:eastAsia="zh-CN"/>
        </w:rPr>
      </w:pPr>
      <w:r>
        <w:rPr>
          <w:rFonts w:hint="eastAsia" w:ascii="Times New Roman" w:hAnsi="Times New Roman" w:eastAsia="华文中宋" w:cs="Times New Roman"/>
          <w:sz w:val="36"/>
          <w:szCs w:val="36"/>
          <w:lang w:val="en-US" w:eastAsia="zh-CN"/>
        </w:rPr>
        <w:t>2024年度上海市国资委重点课题</w:t>
      </w:r>
      <w:r>
        <w:rPr>
          <w:rFonts w:hint="default" w:ascii="Times New Roman" w:hAnsi="Times New Roman" w:eastAsia="华文中宋" w:cs="Times New Roman"/>
          <w:sz w:val="36"/>
          <w:szCs w:val="36"/>
          <w:lang w:val="en-US" w:eastAsia="zh-CN"/>
        </w:rPr>
        <w:t>研究指南</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一、新时代加强混合所有制企业党建工作研究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eastAsia" w:ascii="Times New Roman" w:hAnsi="Times New Roman" w:eastAsia="仿宋_GB2312" w:cs="Times New Roman"/>
          <w:color w:val="auto"/>
          <w:sz w:val="32"/>
          <w:szCs w:val="32"/>
          <w:lang w:val="en-US" w:eastAsia="zh-CN"/>
        </w:rPr>
        <w:t>党的二十大报告提出：“加强混合所有制企业、非公有制企业党建工作。”国务院国资委要求，国有企业要促进党建工作与改革发展同频共振，要在混合所有制改革中加强党建工作，把建立党的组织、开展党的工作作为混改必要前提。</w:t>
      </w:r>
      <w:r>
        <w:rPr>
          <w:rFonts w:hint="default" w:ascii="Times New Roman" w:hAnsi="Times New Roman" w:eastAsia="仿宋_GB2312" w:cs="Times New Roman"/>
          <w:color w:val="auto"/>
          <w:sz w:val="32"/>
          <w:szCs w:val="32"/>
          <w:lang w:val="en-US" w:eastAsia="zh-CN"/>
        </w:rPr>
        <w:t>加强混合所有制企业党的建设，已成为推进国有企业</w:t>
      </w:r>
      <w:r>
        <w:rPr>
          <w:rFonts w:hint="eastAsia" w:ascii="Times New Roman" w:hAnsi="Times New Roman" w:eastAsia="仿宋_GB2312" w:cs="Times New Roman"/>
          <w:color w:val="auto"/>
          <w:sz w:val="32"/>
          <w:szCs w:val="32"/>
          <w:lang w:val="en-US" w:eastAsia="zh-CN"/>
        </w:rPr>
        <w:t>深化</w:t>
      </w:r>
      <w:r>
        <w:rPr>
          <w:rFonts w:hint="default" w:ascii="Times New Roman" w:hAnsi="Times New Roman" w:eastAsia="仿宋_GB2312" w:cs="Times New Roman"/>
          <w:color w:val="auto"/>
          <w:sz w:val="32"/>
          <w:szCs w:val="32"/>
          <w:lang w:val="en-US" w:eastAsia="zh-CN"/>
        </w:rPr>
        <w:t>改革和适应时代发展需要必须完成好的时代课题。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研究分析上海市国资委系统混合所有制企业党建的现状；二是</w:t>
      </w:r>
      <w:r>
        <w:rPr>
          <w:rFonts w:hint="default" w:ascii="Times New Roman" w:hAnsi="Times New Roman" w:eastAsia="仿宋_GB2312" w:cs="Times New Roman"/>
          <w:sz w:val="32"/>
          <w:szCs w:val="32"/>
          <w:lang w:val="en-US" w:eastAsia="zh-CN"/>
        </w:rPr>
        <w:t>深入剖析上海市国资委系统混合所有制企业党建存在的问题</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挑战</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是结合当前</w:t>
      </w:r>
      <w:r>
        <w:rPr>
          <w:rFonts w:hint="eastAsia" w:ascii="Times New Roman" w:hAnsi="Times New Roman" w:eastAsia="仿宋_GB2312" w:cs="Times New Roman"/>
          <w:sz w:val="32"/>
          <w:szCs w:val="32"/>
          <w:lang w:val="en-US" w:eastAsia="zh-CN"/>
        </w:rPr>
        <w:t>国企</w:t>
      </w:r>
      <w:r>
        <w:rPr>
          <w:rFonts w:hint="default" w:ascii="Times New Roman" w:hAnsi="Times New Roman" w:eastAsia="仿宋_GB2312" w:cs="Times New Roman"/>
          <w:sz w:val="32"/>
          <w:szCs w:val="32"/>
          <w:lang w:val="en-US" w:eastAsia="zh-CN"/>
        </w:rPr>
        <w:t>改革深化</w:t>
      </w:r>
      <w:r>
        <w:rPr>
          <w:rFonts w:hint="eastAsia" w:ascii="Times New Roman" w:hAnsi="Times New Roman" w:eastAsia="仿宋_GB2312" w:cs="Times New Roman"/>
          <w:sz w:val="32"/>
          <w:szCs w:val="32"/>
          <w:lang w:val="en-US" w:eastAsia="zh-CN"/>
        </w:rPr>
        <w:t>提升行动</w:t>
      </w:r>
      <w:r>
        <w:rPr>
          <w:rFonts w:hint="default" w:ascii="Times New Roman" w:hAnsi="Times New Roman" w:eastAsia="仿宋_GB2312" w:cs="Times New Roman"/>
          <w:sz w:val="32"/>
          <w:szCs w:val="32"/>
          <w:lang w:val="en-US" w:eastAsia="zh-CN"/>
        </w:rPr>
        <w:t>要求和上海国有企业监管特点，研究提出加强</w:t>
      </w:r>
      <w:r>
        <w:rPr>
          <w:rFonts w:hint="eastAsia" w:ascii="Times New Roman" w:hAnsi="Times New Roman" w:eastAsia="仿宋_GB2312" w:cs="Times New Roman"/>
          <w:sz w:val="32"/>
          <w:szCs w:val="32"/>
          <w:lang w:val="en-US" w:eastAsia="zh-CN"/>
        </w:rPr>
        <w:t>上海市国资委</w:t>
      </w:r>
      <w:r>
        <w:rPr>
          <w:rFonts w:hint="default" w:ascii="Times New Roman" w:hAnsi="Times New Roman" w:eastAsia="仿宋_GB2312" w:cs="Times New Roman"/>
          <w:sz w:val="32"/>
          <w:szCs w:val="32"/>
          <w:lang w:val="en-US" w:eastAsia="zh-CN"/>
        </w:rPr>
        <w:t>系统混合所有制企业党建工作分类指导</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2024年6月底，提交中期研究成果和至少一篇专题报告（3000字左右）；2024年8月底，完成研究任务，提交总报告。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二、董事会专门委员会建设及作用发挥路径研究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default" w:ascii="Times New Roman" w:hAnsi="Times New Roman" w:eastAsia="仿宋_GB2312" w:cs="Times New Roman"/>
          <w:color w:val="auto"/>
          <w:sz w:val="32"/>
          <w:szCs w:val="32"/>
          <w:lang w:val="en-US" w:eastAsia="zh-CN"/>
        </w:rPr>
        <w:t>董事会专门委员会是董事会的专业支撑机构，为董事会决策提供咨询和建议。为落实</w:t>
      </w:r>
      <w:r>
        <w:rPr>
          <w:rFonts w:hint="eastAsia" w:ascii="Times New Roman" w:hAnsi="Times New Roman" w:eastAsia="仿宋_GB2312" w:cs="Times New Roman"/>
          <w:color w:val="auto"/>
          <w:sz w:val="32"/>
          <w:szCs w:val="32"/>
          <w:lang w:val="en-US" w:eastAsia="zh-CN"/>
        </w:rPr>
        <w:t>新修订的</w:t>
      </w:r>
      <w:r>
        <w:rPr>
          <w:rFonts w:hint="default" w:ascii="Times New Roman" w:hAnsi="Times New Roman" w:eastAsia="仿宋_GB2312" w:cs="Times New Roman"/>
          <w:color w:val="auto"/>
          <w:sz w:val="32"/>
          <w:szCs w:val="32"/>
          <w:lang w:val="en-US" w:eastAsia="zh-CN"/>
        </w:rPr>
        <w:t>《公司法》</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要求，进一步完善中国特色国有企业现代公司治理，充分发挥国有企业</w:t>
      </w:r>
      <w:r>
        <w:rPr>
          <w:rFonts w:hint="eastAsia" w:ascii="Times New Roman" w:hAnsi="Times New Roman" w:eastAsia="仿宋_GB2312" w:cs="Times New Roman"/>
          <w:color w:val="auto"/>
          <w:sz w:val="32"/>
          <w:szCs w:val="32"/>
          <w:lang w:val="en-US" w:eastAsia="zh-CN"/>
        </w:rPr>
        <w:t>科技创新、产业控制、安全支撑</w:t>
      </w:r>
      <w:r>
        <w:rPr>
          <w:rFonts w:hint="default" w:ascii="Times New Roman" w:hAnsi="Times New Roman" w:eastAsia="仿宋_GB2312" w:cs="Times New Roman"/>
          <w:color w:val="auto"/>
          <w:sz w:val="32"/>
          <w:szCs w:val="32"/>
          <w:lang w:val="en-US" w:eastAsia="zh-CN"/>
        </w:rPr>
        <w:t>“三个作用”，支撑董事会“定战略，作决策，防风险”，推动国有企业高质量发展，特开展董事会专门委员会建设及作用发挥路径课题研究。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eastAsia" w:ascii="Times New Roman" w:hAnsi="Times New Roman" w:eastAsia="仿宋_GB2312" w:cs="Times New Roman"/>
          <w:color w:val="auto"/>
          <w:sz w:val="32"/>
          <w:szCs w:val="32"/>
          <w:lang w:val="en-US" w:eastAsia="zh-CN"/>
        </w:rPr>
        <w:t>一是根据企业分类，分别提出</w:t>
      </w:r>
      <w:r>
        <w:rPr>
          <w:rFonts w:hint="default" w:ascii="Times New Roman" w:hAnsi="Times New Roman" w:eastAsia="仿宋_GB2312" w:cs="Times New Roman"/>
          <w:color w:val="auto"/>
          <w:sz w:val="32"/>
          <w:szCs w:val="32"/>
          <w:lang w:val="en-US" w:eastAsia="zh-CN"/>
        </w:rPr>
        <w:t>专门委员会</w:t>
      </w:r>
      <w:r>
        <w:rPr>
          <w:rFonts w:hint="eastAsia" w:ascii="Times New Roman" w:hAnsi="Times New Roman" w:eastAsia="仿宋_GB2312" w:cs="Times New Roman"/>
          <w:color w:val="auto"/>
          <w:sz w:val="32"/>
          <w:szCs w:val="32"/>
          <w:lang w:val="en-US" w:eastAsia="zh-CN"/>
        </w:rPr>
        <w:t>设置的原则、职责及作用发挥路径；二是研究董事会</w:t>
      </w:r>
      <w:r>
        <w:rPr>
          <w:rFonts w:hint="default" w:ascii="Times New Roman" w:hAnsi="Times New Roman" w:eastAsia="仿宋_GB2312" w:cs="Times New Roman"/>
          <w:color w:val="auto"/>
          <w:sz w:val="32"/>
          <w:szCs w:val="32"/>
          <w:lang w:val="en-US" w:eastAsia="zh-CN"/>
        </w:rPr>
        <w:t>专门委员会</w:t>
      </w:r>
      <w:r>
        <w:rPr>
          <w:rFonts w:hint="eastAsia" w:ascii="Times New Roman" w:hAnsi="Times New Roman" w:eastAsia="仿宋_GB2312" w:cs="Times New Roman"/>
          <w:color w:val="auto"/>
          <w:sz w:val="32"/>
          <w:szCs w:val="32"/>
          <w:lang w:val="en-US" w:eastAsia="zh-CN"/>
        </w:rPr>
        <w:t>与国资监管机构、企业经营层等主体之间的关系；三是研究董事会审计委员会与其他审计（监督）主体的权责边界，提出审计委员会承接监事会职责的实现路径及建议；四是制定董事会专门委员会议事规则、权责清单等制度文件示范文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2024年6月底，提交中期研究成果和至少一篇专题报告（3000字左右）；2024年9月底，完成研究任务，提交总报告。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三、上海国资国企</w:t>
      </w:r>
      <w:r>
        <w:rPr>
          <w:rFonts w:hint="eastAsia" w:ascii="Times New Roman" w:hAnsi="Times New Roman" w:eastAsia="黑体" w:cs="Times New Roman"/>
          <w:sz w:val="32"/>
          <w:szCs w:val="32"/>
          <w:lang w:val="en-US" w:eastAsia="zh-CN"/>
        </w:rPr>
        <w:t>推动</w:t>
      </w:r>
      <w:r>
        <w:rPr>
          <w:rFonts w:hint="default" w:ascii="Times New Roman" w:hAnsi="Times New Roman" w:eastAsia="黑体" w:cs="Times New Roman"/>
          <w:sz w:val="32"/>
          <w:szCs w:val="32"/>
          <w:lang w:val="en-US" w:eastAsia="zh-CN"/>
        </w:rPr>
        <w:t>科技产业金融高水平循环研究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default" w:ascii="Times New Roman" w:hAnsi="Times New Roman" w:eastAsia="仿宋_GB2312" w:cs="Times New Roman"/>
          <w:color w:val="auto"/>
          <w:sz w:val="32"/>
          <w:szCs w:val="32"/>
          <w:lang w:val="en-US" w:eastAsia="zh-CN"/>
        </w:rPr>
        <w:t>中央经济工作会议明确提出，</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推动科技产业金融良性循环。上海市</w:t>
      </w:r>
      <w:r>
        <w:rPr>
          <w:rFonts w:hint="eastAsia" w:ascii="Times New Roman" w:hAnsi="Times New Roman" w:eastAsia="仿宋_GB2312" w:cs="Times New Roman"/>
          <w:color w:val="auto"/>
          <w:sz w:val="32"/>
          <w:szCs w:val="32"/>
          <w:lang w:val="en-US" w:eastAsia="zh-CN"/>
        </w:rPr>
        <w:t>正着力推动</w:t>
      </w:r>
      <w:r>
        <w:rPr>
          <w:rFonts w:hint="default" w:ascii="Times New Roman" w:hAnsi="Times New Roman" w:eastAsia="仿宋_GB2312" w:cs="Times New Roman"/>
          <w:color w:val="auto"/>
          <w:sz w:val="32"/>
          <w:szCs w:val="32"/>
          <w:lang w:val="en-US" w:eastAsia="zh-CN"/>
        </w:rPr>
        <w:t>形成科技产业金融高水平循环。为提升国资金融服务实体经济能级，增强企业科技创新能力，推动国有企业发挥科技创新、产业控制、安全支撑“三个作用”，打造科技产业金融高水平循环</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上海样板，助力上海“五个中心”建设，特开展上海国资国企打造科技产业金融高水平循环研究。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color w:val="auto"/>
          <w:sz w:val="32"/>
          <w:szCs w:val="32"/>
          <w:lang w:val="en-US" w:eastAsia="zh-CN"/>
        </w:rPr>
        <w:t>一是研究我国金融行业服务科技产业发展的现状以及国外金融服务科技产业的经验与做法；二是研究科技企业发展过程中的金融需求以及金融服务科技产业发展的痛点及难点；三是分析上海国资金融服务科技产业发展的成效及面临的问题；四是结合上海国资金融实际，提出银行证券保险基金联动，创新金融产品和服务，为科技型企业提供全链条、全生命周期金融服务，推动科技、产业、金融高水平循环的相关建议及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2024年6月底，提交中期研究成果和至少一篇专题报告（3000字左右）；2024年9月底，完成研究任务，提交总报告。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四、深化上海国资数字化监管体系建设研究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 w:cs="Times New Roman"/>
          <w:b/>
          <w:bCs/>
          <w:color w:val="auto"/>
          <w:sz w:val="32"/>
          <w:szCs w:val="32"/>
          <w:lang w:eastAsia="zh-CN"/>
        </w:rPr>
        <w:t>研究背景与目的：</w:t>
      </w:r>
      <w:r>
        <w:rPr>
          <w:rFonts w:hint="eastAsia" w:ascii="仿宋_GB2312" w:hAnsi="仿宋_GB2312" w:eastAsia="仿宋_GB2312" w:cs="仿宋_GB2312"/>
          <w:color w:val="auto"/>
          <w:sz w:val="32"/>
          <w:szCs w:val="32"/>
          <w:lang w:eastAsia="zh-CN"/>
        </w:rPr>
        <w:t>深入推进国资数字化监管是推动国企改革深化提升行动落地见效</w:t>
      </w:r>
      <w:r>
        <w:rPr>
          <w:rFonts w:hint="default" w:ascii="Times New Roman" w:hAnsi="Times New Roman" w:eastAsia="仿宋_GB2312" w:cs="Times New Roman"/>
          <w:color w:val="auto"/>
          <w:sz w:val="32"/>
          <w:szCs w:val="32"/>
          <w:lang w:eastAsia="zh-CN"/>
        </w:rPr>
        <w:t>的重要内容</w:t>
      </w:r>
      <w:r>
        <w:rPr>
          <w:rFonts w:hint="default" w:ascii="Times New Roman" w:hAnsi="Times New Roman" w:eastAsia="仿宋_GB2312" w:cs="Times New Roman"/>
          <w:color w:val="auto"/>
          <w:sz w:val="32"/>
          <w:szCs w:val="32"/>
          <w:highlight w:val="none"/>
          <w:lang w:eastAsia="zh-CN"/>
        </w:rPr>
        <w:t>，是助力</w:t>
      </w:r>
      <w:r>
        <w:rPr>
          <w:rFonts w:hint="default" w:ascii="Times New Roman" w:hAnsi="Times New Roman" w:eastAsia="仿宋_GB2312" w:cs="Times New Roman"/>
          <w:color w:val="auto"/>
          <w:sz w:val="32"/>
          <w:szCs w:val="32"/>
          <w:lang w:eastAsia="zh-CN"/>
        </w:rPr>
        <w:t>国资国企高质量发展的重要举措，是强化国资监管“专业化、体系化、法治化、高效化、精准化”的重要基础性工作。</w:t>
      </w:r>
      <w:r>
        <w:rPr>
          <w:rFonts w:hint="eastAsia" w:ascii="Times New Roman" w:hAnsi="Times New Roman" w:eastAsia="仿宋_GB2312" w:cs="Times New Roman"/>
          <w:color w:val="auto"/>
          <w:sz w:val="32"/>
          <w:szCs w:val="32"/>
          <w:lang w:eastAsia="zh-CN"/>
        </w:rPr>
        <w:t>为进一步</w:t>
      </w:r>
      <w:r>
        <w:rPr>
          <w:rFonts w:hint="eastAsia" w:ascii="仿宋_GB2312" w:hAnsi="仿宋_GB2312" w:eastAsia="仿宋_GB2312" w:cs="仿宋_GB2312"/>
          <w:color w:val="auto"/>
          <w:sz w:val="32"/>
          <w:szCs w:val="32"/>
          <w:lang w:eastAsia="zh-CN"/>
        </w:rPr>
        <w:t>以数字化智能化赋能国资监管，提升监管效能，推动国资国企高质量发展，</w:t>
      </w:r>
      <w:bookmarkStart w:id="0" w:name="_GoBack"/>
      <w:bookmarkEnd w:id="0"/>
      <w:r>
        <w:rPr>
          <w:rFonts w:hint="eastAsia" w:ascii="仿宋_GB2312" w:hAnsi="仿宋_GB2312" w:eastAsia="仿宋_GB2312" w:cs="仿宋_GB2312"/>
          <w:color w:val="auto"/>
          <w:sz w:val="32"/>
          <w:szCs w:val="32"/>
          <w:lang w:eastAsia="zh-CN"/>
        </w:rPr>
        <w:t>以深化在线监管服务平台建设应用为主线，聚焦数据利用、模型算法开展深化数字化监管体系建设研究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b w:val="0"/>
          <w:bCs w:val="0"/>
          <w:color w:val="auto"/>
          <w:sz w:val="32"/>
          <w:szCs w:val="32"/>
          <w:lang w:val="en-US" w:eastAsia="zh-CN"/>
        </w:rPr>
        <w:t>一是系统梳理当前上海国资监管信息化工作的实践背景和工作情况；二是分析当前国资监管信息化存在的问题和不足；三是结合信息化发展现状以及当前的技术架构，提出数字化监管体系建设的目标和方向；四是从组织领导、体制机制、经费保障、队伍建设等方面，研究提出深化上海国资委数字化监管的</w:t>
      </w:r>
      <w:r>
        <w:rPr>
          <w:rFonts w:hint="eastAsia" w:ascii="Times New Roman" w:hAnsi="Times New Roman" w:eastAsia="仿宋_GB2312" w:cs="Times New Roman"/>
          <w:b w:val="0"/>
          <w:bCs w:val="0"/>
          <w:color w:val="auto"/>
          <w:sz w:val="32"/>
          <w:szCs w:val="32"/>
          <w:lang w:val="en-US" w:eastAsia="zh-CN"/>
        </w:rPr>
        <w:t>实施路径</w:t>
      </w:r>
      <w:r>
        <w:rPr>
          <w:rFonts w:hint="default" w:ascii="Times New Roman" w:hAnsi="Times New Roman" w:eastAsia="仿宋_GB2312" w:cs="Times New Roman"/>
          <w:b w:val="0"/>
          <w:bCs w:val="0"/>
          <w:color w:val="auto"/>
          <w:sz w:val="32"/>
          <w:szCs w:val="32"/>
          <w:lang w:val="en-US" w:eastAsia="zh-CN"/>
        </w:rPr>
        <w:t>和工作任务。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2024年6月底，提交中期研究成果和至少一篇专题报告（3000字左右）；2024年9月底，完成研究任务，提交总报告。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五、推动国资基金高质量支撑战新产业发展研究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default" w:ascii="Times New Roman" w:hAnsi="Times New Roman" w:eastAsia="仿宋_GB2312" w:cs="Times New Roman"/>
          <w:color w:val="auto"/>
          <w:sz w:val="32"/>
          <w:szCs w:val="32"/>
          <w:lang w:val="en-US" w:eastAsia="zh-CN"/>
        </w:rPr>
        <w:t>为构建与上海战略规划和科技产业变革相适应的国资投资体系，更好发挥国资国企</w:t>
      </w:r>
      <w:r>
        <w:rPr>
          <w:rFonts w:hint="eastAsia" w:ascii="Times New Roman" w:hAnsi="Times New Roman" w:eastAsia="仿宋_GB2312" w:cs="Times New Roman"/>
          <w:color w:val="auto"/>
          <w:sz w:val="32"/>
          <w:szCs w:val="32"/>
          <w:lang w:val="en-US" w:eastAsia="zh-CN"/>
        </w:rPr>
        <w:t>科技创新、产业控制、安全支撑</w:t>
      </w:r>
      <w:r>
        <w:rPr>
          <w:rFonts w:hint="default" w:ascii="Times New Roman" w:hAnsi="Times New Roman" w:eastAsia="仿宋_GB2312" w:cs="Times New Roman"/>
          <w:color w:val="auto"/>
          <w:sz w:val="32"/>
          <w:szCs w:val="32"/>
          <w:lang w:val="en-US" w:eastAsia="zh-CN"/>
        </w:rPr>
        <w:t>“三个作用”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助力上海“五个中心”建设</w:t>
      </w:r>
      <w:r>
        <w:rPr>
          <w:rFonts w:hint="eastAsia" w:ascii="Times New Roman" w:hAnsi="Times New Roman" w:eastAsia="仿宋_GB2312" w:cs="Times New Roman"/>
          <w:color w:val="auto"/>
          <w:sz w:val="32"/>
          <w:szCs w:val="32"/>
          <w:lang w:val="en-US" w:eastAsia="zh-CN"/>
        </w:rPr>
        <w:t>，上海市国资委着力推动国资基金改革</w:t>
      </w:r>
      <w:r>
        <w:rPr>
          <w:rFonts w:hint="default" w:ascii="Times New Roman" w:hAnsi="Times New Roman" w:eastAsia="仿宋_GB2312" w:cs="Times New Roman"/>
          <w:color w:val="auto"/>
          <w:sz w:val="32"/>
          <w:szCs w:val="32"/>
          <w:lang w:val="en-US" w:eastAsia="zh-CN"/>
        </w:rPr>
        <w:t>，培育开放协同的基金生态，</w:t>
      </w:r>
      <w:r>
        <w:rPr>
          <w:rFonts w:hint="eastAsia" w:ascii="Times New Roman" w:hAnsi="Times New Roman" w:eastAsia="仿宋_GB2312" w:cs="Times New Roman"/>
          <w:color w:val="auto"/>
          <w:sz w:val="32"/>
          <w:szCs w:val="32"/>
          <w:lang w:val="en-US" w:eastAsia="zh-CN"/>
        </w:rPr>
        <w:t>助力</w:t>
      </w:r>
      <w:r>
        <w:rPr>
          <w:rFonts w:hint="default" w:ascii="Times New Roman" w:hAnsi="Times New Roman" w:eastAsia="仿宋_GB2312" w:cs="Times New Roman"/>
          <w:color w:val="auto"/>
          <w:sz w:val="32"/>
          <w:szCs w:val="32"/>
          <w:lang w:val="en-US" w:eastAsia="zh-CN"/>
        </w:rPr>
        <w:t>提升</w:t>
      </w:r>
      <w:r>
        <w:rPr>
          <w:rFonts w:hint="eastAsia" w:ascii="Times New Roman" w:hAnsi="Times New Roman" w:eastAsia="仿宋_GB2312" w:cs="Times New Roman"/>
          <w:color w:val="auto"/>
          <w:sz w:val="32"/>
          <w:szCs w:val="32"/>
          <w:lang w:val="en-US" w:eastAsia="zh-CN"/>
        </w:rPr>
        <w:t>上海现代化产业体系</w:t>
      </w:r>
      <w:r>
        <w:rPr>
          <w:rFonts w:hint="default" w:ascii="Times New Roman" w:hAnsi="Times New Roman" w:eastAsia="仿宋_GB2312" w:cs="Times New Roman"/>
          <w:color w:val="auto"/>
          <w:sz w:val="32"/>
          <w:szCs w:val="32"/>
          <w:lang w:val="en-US" w:eastAsia="zh-CN"/>
        </w:rPr>
        <w:t>整体能级和发展水平。为推进解决改革</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val="en-US" w:eastAsia="zh-CN"/>
        </w:rPr>
        <w:t>过程中的堵点难点卡点问题，特开展推动国资基金高质量支撑战新产业发展研究。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color w:val="auto"/>
          <w:sz w:val="32"/>
          <w:szCs w:val="32"/>
          <w:lang w:val="en-US" w:eastAsia="zh-CN"/>
        </w:rPr>
        <w:t>一是系统梳理国资基金现状，包括上海国资基金的现状及各地的优秀经验和做法；二是分析当前国资基金在支持战新产业上的短板和瓶颈；三是结合上海特点，提出推动国资基金高质量支撑战新产业发展的改革思路；四是研究提出进一步优化国资基金发展的建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五是对修订</w:t>
      </w:r>
      <w:r>
        <w:rPr>
          <w:rFonts w:hint="eastAsia" w:ascii="Times New Roman" w:hAnsi="Times New Roman" w:eastAsia="仿宋_GB2312" w:cs="Times New Roman"/>
          <w:color w:val="auto"/>
          <w:sz w:val="32"/>
          <w:szCs w:val="32"/>
          <w:lang w:val="en-US" w:eastAsia="zh-CN"/>
        </w:rPr>
        <w:t>市国资委关于监管企业</w:t>
      </w:r>
      <w:r>
        <w:rPr>
          <w:rFonts w:hint="default" w:ascii="Times New Roman" w:hAnsi="Times New Roman" w:eastAsia="仿宋_GB2312" w:cs="Times New Roman"/>
          <w:color w:val="auto"/>
          <w:sz w:val="32"/>
          <w:szCs w:val="32"/>
          <w:lang w:val="en-US" w:eastAsia="zh-CN"/>
        </w:rPr>
        <w:t>私募股权投资基金监督管理办法</w:t>
      </w:r>
      <w:r>
        <w:rPr>
          <w:rFonts w:hint="eastAsia" w:ascii="Times New Roman" w:hAnsi="Times New Roman" w:eastAsia="仿宋_GB2312" w:cs="Times New Roman"/>
          <w:color w:val="auto"/>
          <w:sz w:val="32"/>
          <w:szCs w:val="32"/>
          <w:lang w:val="en-US" w:eastAsia="zh-CN"/>
        </w:rPr>
        <w:t>提出</w:t>
      </w:r>
      <w:r>
        <w:rPr>
          <w:rFonts w:hint="default" w:ascii="Times New Roman" w:hAnsi="Times New Roman" w:eastAsia="仿宋_GB2312" w:cs="Times New Roman"/>
          <w:color w:val="auto"/>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2024年6月底，提交中期研究成果和至少一篇专题报告（3000字左右）；2024年8月底，完成研究任务，提交总报告。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六、劳动生产率在收入分配管理工作中的应用研究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color w:val="auto"/>
          <w:sz w:val="32"/>
          <w:szCs w:val="32"/>
          <w:lang w:eastAsia="zh-CN"/>
        </w:rPr>
        <w:t>研究背景与目的：</w:t>
      </w:r>
      <w:r>
        <w:rPr>
          <w:rFonts w:hint="default" w:ascii="Times New Roman" w:hAnsi="Times New Roman" w:eastAsia="仿宋_GB2312" w:cs="Times New Roman"/>
          <w:color w:val="auto"/>
          <w:sz w:val="32"/>
          <w:szCs w:val="32"/>
          <w:lang w:val="en-US" w:eastAsia="zh-CN"/>
        </w:rPr>
        <w:t>健全市场化经营机制是国有企业激发活力、提高效率的关键。在收入分配领域，</w:t>
      </w:r>
      <w:r>
        <w:rPr>
          <w:rFonts w:hint="default" w:ascii="Times New Roman" w:hAnsi="Times New Roman" w:eastAsia="仿宋_GB2312" w:cs="Times New Roman"/>
          <w:sz w:val="32"/>
          <w:szCs w:val="32"/>
        </w:rPr>
        <w:t>国</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rPr>
        <w:t>明确</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eastAsia="zh-CN"/>
        </w:rPr>
        <w:t>在国有企业</w:t>
      </w:r>
      <w:r>
        <w:rPr>
          <w:rFonts w:hint="default" w:ascii="Times New Roman" w:hAnsi="Times New Roman" w:eastAsia="仿宋_GB2312" w:cs="Times New Roman"/>
          <w:sz w:val="32"/>
          <w:szCs w:val="32"/>
        </w:rPr>
        <w:t>“建立健全与劳动力市场基本适应、与企业经济效益和劳动生产率挂钩的工资决定和正常增长机制”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劳动生产率</w:t>
      </w:r>
      <w:r>
        <w:rPr>
          <w:rFonts w:hint="default" w:ascii="Times New Roman" w:hAnsi="Times New Roman" w:eastAsia="仿宋_GB2312" w:cs="Times New Roman"/>
          <w:sz w:val="32"/>
          <w:szCs w:val="32"/>
          <w:lang w:eastAsia="zh-CN"/>
        </w:rPr>
        <w:t>指标</w:t>
      </w:r>
      <w:r>
        <w:rPr>
          <w:rFonts w:hint="default" w:ascii="Times New Roman" w:hAnsi="Times New Roman" w:eastAsia="仿宋_GB2312" w:cs="Times New Roman"/>
          <w:sz w:val="32"/>
          <w:szCs w:val="32"/>
        </w:rPr>
        <w:t>在工资</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的重要性不断凸显。</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优化工资总额管理，</w:t>
      </w:r>
      <w:r>
        <w:rPr>
          <w:rFonts w:hint="default" w:ascii="Times New Roman" w:hAnsi="Times New Roman" w:eastAsia="仿宋_GB2312" w:cs="Times New Roman"/>
          <w:sz w:val="32"/>
          <w:szCs w:val="32"/>
          <w:lang w:eastAsia="zh-CN"/>
        </w:rPr>
        <w:t>促进国有企业进一步建立市场化经营机制，持续推动国有企业高质量发展</w:t>
      </w:r>
      <w:r>
        <w:rPr>
          <w:rFonts w:hint="eastAsia" w:ascii="Times New Roman" w:hAnsi="Times New Roman" w:eastAsia="仿宋_GB2312" w:cs="Times New Roman"/>
          <w:sz w:val="32"/>
          <w:szCs w:val="32"/>
          <w:lang w:eastAsia="zh-CN"/>
        </w:rPr>
        <w:t>，特开展劳动生产率在收入分配管理工作中的应用研究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eastAsia="zh-CN"/>
        </w:rPr>
        <w:t>全面梳理各级国有资产监管机构在收入分配领域有关劳动生产率的政策；</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eastAsia="zh-CN"/>
        </w:rPr>
        <w:t>总结国家和本市国有企业有关劳动生产率管理实践经验；</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lang w:eastAsia="zh-CN"/>
        </w:rPr>
        <w:t>结合上海市国有企业行业分布、功能定位及发展实际情况，提出劳动生产率指标在收入分配管理中的应用建议。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2024年6月底，提交中期研究成果和至少一篇专题报告（3000字左右）；2024年9月底，完成研究任务，</w:t>
      </w:r>
      <w:r>
        <w:rPr>
          <w:rFonts w:hint="default" w:ascii="Times New Roman" w:hAnsi="Times New Roman" w:eastAsia="仿宋_GB2312" w:cs="Times New Roman"/>
          <w:color w:val="auto"/>
          <w:sz w:val="32"/>
          <w:szCs w:val="32"/>
        </w:rPr>
        <w:t>提交总报告</w:t>
      </w:r>
      <w:r>
        <w:rPr>
          <w:rFonts w:hint="default" w:ascii="Times New Roman" w:hAnsi="Times New Roman" w:eastAsia="仿宋_GB2312" w:cs="Times New Roman"/>
          <w:color w:val="auto"/>
          <w:sz w:val="32"/>
          <w:szCs w:val="32"/>
          <w:lang w:val="en-US" w:eastAsia="zh-CN"/>
        </w:rPr>
        <w:t>。</w:t>
      </w:r>
    </w:p>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4305"/>
    <w:rsid w:val="1A116CE8"/>
    <w:rsid w:val="2AC3504C"/>
    <w:rsid w:val="326533F8"/>
    <w:rsid w:val="40FA4305"/>
    <w:rsid w:val="41F90B09"/>
    <w:rsid w:val="4CF712BA"/>
    <w:rsid w:val="56FA319C"/>
    <w:rsid w:val="5A551362"/>
    <w:rsid w:val="61CC129E"/>
    <w:rsid w:val="6495519A"/>
    <w:rsid w:val="67FB15B3"/>
    <w:rsid w:val="6A240BFB"/>
    <w:rsid w:val="71E40030"/>
    <w:rsid w:val="736040CD"/>
    <w:rsid w:val="790166DF"/>
    <w:rsid w:val="A3FD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w:basedOn w:val="1"/>
    <w:qFormat/>
    <w:uiPriority w:val="99"/>
    <w:rPr>
      <w:rFonts w:ascii="Calibri" w:hAnsi="Calibri" w:cs="Calibri"/>
    </w:rPr>
  </w:style>
  <w:style w:type="paragraph" w:styleId="4">
    <w:name w:val="Body Text Indent"/>
    <w:basedOn w:val="1"/>
    <w:qFormat/>
    <w:uiPriority w:val="99"/>
    <w:pPr>
      <w:spacing w:after="120"/>
      <w:ind w:left="420" w:leftChars="200"/>
    </w:pPr>
    <w:rPr>
      <w:rFonts w:ascii="Calibri" w:hAnsi="Calibri" w:eastAsia="宋体" w:cs="Times New Roman"/>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2024-03-27T21:12:00Z</dcterms:created>
  <dc:creator>陈静</dc:creator>
  <cp:lastModifiedBy>chen.Z</cp:lastModifiedBy>
  <cp:lastPrinted>2024-04-09T11:28:00Z</cp:lastPrinted>
  <dcterms:modified xsi:type="dcterms:W3CDTF">2024-04-09T16:48:07Z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25D50D3C9796C44CC7001566E33A831D</vt:lpwstr>
  </property>
</Properties>
</file>