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10</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default" w:ascii="Times New Roman" w:hAnsi="Times New Roman" w:eastAsia="楷体_GB2312" w:cs="Times New Roman"/>
          <w:spacing w:val="-14"/>
          <w:sz w:val="28"/>
          <w:szCs w:val="24"/>
          <w:u w:val="single" w:color="FF0000"/>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4</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重要动态</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pPr>
      <w:r>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t>国泰海通证券股份有限公司挂牌成立大会举行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日前，国泰海通证券股份有限公司挂牌成立大会在世界会客厅举行，市委副书记、市长龚正出席大会并为国泰海通揭牌。</w:t>
      </w:r>
    </w:p>
    <w:p>
      <w:pPr>
        <w:keepNext w:val="0"/>
        <w:keepLines w:val="0"/>
        <w:widowControl w:val="0"/>
        <w:suppressLineNumbers w:val="0"/>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i w:val="0"/>
          <w:iCs w:val="0"/>
          <w:caps w:val="0"/>
          <w:color w:val="auto"/>
          <w:spacing w:val="0"/>
          <w:kern w:val="0"/>
          <w:sz w:val="32"/>
          <w:szCs w:val="32"/>
          <w:shd w:val="clear" w:fill="auto"/>
          <w:lang w:val="en-US" w:eastAsia="zh-CN" w:bidi="ar"/>
        </w:rPr>
        <w:t>国泰海通由国泰君安与海通证券合并而成。2024年9月，国泰君安与海通证券积极响应国家战略，启动合并重组，2025年4月正式更名为国泰海通，拉开建设一流投行的序幕。合并重组后的国泰海通，总资产和净资产规模跃居国内行业第一，零售、机构和企业客户规模位居行业前列，财富管理、研究与机构、投资银行、交易投资、信用等业务实力显著增强。国泰海通将主动服务国家战略，积极支持实体经济发展，不断提升核心竞争力，为金融强国建设和上海“五个中心”建设贡献更大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会上，聚焦央地合作支持“五个中心”建设、银证携手推动金融高质量发展、跨境联动共建上海国际金融中心、上海金融服务新质生产力发展四个主题，国泰海通与相关中央企业、国有银行、外资金融机构、在沪金融企业和科创企业签署战略合作协议。（上海市国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default" w:ascii="Times New Roman" w:hAnsi="Times New Roman" w:cs="Times New Roman"/>
          <w:lang w:eastAsia="zh-CN"/>
        </w:rPr>
      </w:pPr>
      <w:r>
        <w:rPr>
          <w:rFonts w:hint="default" w:ascii="Times New Roman" w:hAnsi="Times New Roman" w:eastAsia="楷体_GB2312" w:cs="Times New Roman"/>
          <w:b/>
          <w:bCs/>
          <w:sz w:val="32"/>
          <w:szCs w:val="32"/>
        </w:rPr>
        <w:t>国企之窗</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上海三大先导产业母基金</w:t>
      </w:r>
      <w:r>
        <w:rPr>
          <w:rFonts w:hint="eastAsia" w:ascii="华文中宋" w:hAnsi="华文中宋" w:eastAsia="华文中宋" w:cs="华文中宋"/>
          <w:b w:val="0"/>
          <w:bCs w:val="0"/>
          <w:color w:val="auto"/>
          <w:sz w:val="36"/>
          <w:szCs w:val="36"/>
          <w:shd w:val="clear" w:color="auto" w:fill="FFFFFF"/>
          <w:lang w:eastAsia="zh-CN" w:bidi="ar"/>
        </w:rPr>
        <w:t>仅</w:t>
      </w:r>
      <w:r>
        <w:rPr>
          <w:rFonts w:hint="eastAsia" w:ascii="华文中宋" w:hAnsi="华文中宋" w:eastAsia="华文中宋" w:cs="华文中宋"/>
          <w:b w:val="0"/>
          <w:bCs w:val="0"/>
          <w:color w:val="auto"/>
          <w:sz w:val="36"/>
          <w:szCs w:val="36"/>
          <w:shd w:val="clear" w:color="auto" w:fill="FFFFFF"/>
          <w:lang w:bidi="ar"/>
        </w:rPr>
        <w:t>设立10个月</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已撬动172亿元社会资本</w:t>
      </w:r>
      <w:r>
        <w:rPr>
          <w:rFonts w:hint="eastAsia" w:ascii="华文中宋" w:hAnsi="华文中宋" w:eastAsia="华文中宋" w:cs="华文中宋"/>
          <w:b w:val="0"/>
          <w:bCs w:val="0"/>
          <w:color w:val="auto"/>
          <w:sz w:val="36"/>
          <w:szCs w:val="36"/>
          <w:shd w:val="clear" w:color="auto" w:fill="FFFFFF"/>
          <w:lang w:val="en-US" w:eastAsia="zh-CN" w:bidi="ar"/>
        </w:rPr>
        <w:t xml:space="preserve"> </w:t>
      </w:r>
      <w:r>
        <w:rPr>
          <w:rFonts w:hint="eastAsia" w:ascii="华文中宋" w:hAnsi="华文中宋" w:eastAsia="华文中宋" w:cs="华文中宋"/>
          <w:b w:val="0"/>
          <w:bCs w:val="0"/>
          <w:color w:val="auto"/>
          <w:sz w:val="36"/>
          <w:szCs w:val="36"/>
          <w:shd w:val="clear" w:color="auto" w:fill="FFFFFF"/>
          <w:lang w:bidi="ar"/>
        </w:rPr>
        <w:t>招引200家企业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7月正式发布的上海三大先导产业母基金，实现了当年筹建、当年设立、当年投决的高效运作模式。上海国投先导公司通过首批9只市场化子基金的遴选，以36.5亿元母基金出资撬动172亿元社会资本，实现4.71倍放大效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三大先导产业母基金期限均为15年，出资额合计890.03亿元，计划分别投向集成电路、生物医药和人工智能三大产业，基金管理人均为上海国投先导公司（上海国投公司全资子公司），旨在发挥“投早投小投长期投硬科技”、产业投资、并购整合、补链强链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三大先导产业母基金目前已进入第二批80家子基金遴选阶段，两批子基金目前已经带来近200家招引企业，覆盖从光子芯片到基因治疗的硬科技前沿。子基金不仅注入资本活水，更孕育出产业链的“生态雨林”。先导基金将立足上海产业优势，让先导产业成为串联上海经济的战略纽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的优势不仅在于三大先导产业的单点突破，更在于它们与金融、航运、贸易、汽车、飞机等传统优势产业的化学反应。依托母基金的纽带作用，将加速先进制程与智能驾驶、具身智能等应用的深度融合，让集成电路成为上海制造升级的“根技术”；深化合成生物学对化工巨头的赋能，驱动生物固氮技术撬动万亿级碳减排，让生物医药成为健康与能源革命的“新引擎”；夯实算力根基，贯通数据动脉，重塑金融风控、航运物流等千行百业的底层逻辑，让人工智能成为重塑经济底层的“操作系统”。未来将与高校共建概念验证中心，与链主共建“产业航母”，与地方共建招引专班，以“政策+资本+场景”全周期赋能硬科技企业。在需要十年磨一剑的关键领域，将以“国有耐心资本+市场专业能力”的创新机制，以更长周期陪伴早期创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上海三大先导产业母基金将进一步强化与国家重大战略、上海市“十四五”规划的深度协同，聚焦三大先导产业的“卡脖子”技术突破与产业链升级。通过构建</w:t>
      </w:r>
      <w:r>
        <w:rPr>
          <w:rFonts w:hint="eastAsia" w:ascii="Times New Roman" w:hAnsi="Times New Roman" w:eastAsia="仿宋_GB2312" w:cs="Times New Roman"/>
          <w:b w:val="0"/>
          <w:bCs w:val="0"/>
          <w:sz w:val="32"/>
          <w:szCs w:val="32"/>
          <w:lang w:val="en-US" w:eastAsia="zh-CN"/>
        </w:rPr>
        <w:t>“耐心资本+全周期赋能”</w:t>
      </w:r>
      <w:r>
        <w:rPr>
          <w:rFonts w:hint="eastAsia" w:ascii="Times New Roman" w:hAnsi="Times New Roman" w:eastAsia="仿宋_GB2312" w:cs="Times New Roman"/>
          <w:sz w:val="32"/>
          <w:szCs w:val="32"/>
          <w:lang w:val="en-US" w:eastAsia="zh-CN"/>
        </w:rPr>
        <w:t>模式，重点布局具有国际竞争力的前沿技术项目，助力上海打造世界级产业集群。（上海国投公司）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百联集团积极推进内外贸一体化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百联集团旗下百联股份推进内外贸一体化，成立转内销专班，将发挥商业服务资源优势，发掘立足上海、全国布局的百货、购物中心、奥特莱斯等40多家成员企业及全渠道平台网络潜力，成立转内销专班，助内销促内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开辟转内销专属通道。</w:t>
      </w:r>
      <w:r>
        <w:rPr>
          <w:rFonts w:hint="eastAsia" w:ascii="Times New Roman" w:hAnsi="Times New Roman" w:eastAsia="仿宋_GB2312" w:cs="Times New Roman"/>
          <w:sz w:val="32"/>
          <w:szCs w:val="32"/>
          <w:lang w:val="en-US" w:eastAsia="zh-CN"/>
        </w:rPr>
        <w:t>为出口转内销的企业开通线上专属绿色通道，建立多部门即时申报与快速响应机制。同时通过总部和成员企业招商采购网络，强化线下沟通与协商通路，形成线上线下立体协同的工作机制与对接路径。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开发转内销专属空间。</w:t>
      </w:r>
      <w:r>
        <w:rPr>
          <w:rFonts w:hint="eastAsia" w:ascii="Times New Roman" w:hAnsi="Times New Roman" w:eastAsia="仿宋_GB2312" w:cs="Times New Roman"/>
          <w:sz w:val="32"/>
          <w:szCs w:val="32"/>
          <w:lang w:val="en-US" w:eastAsia="zh-CN"/>
        </w:rPr>
        <w:t>发掘旗下百货店、购物中心、奥特莱斯和时尚买手店等多种商业服务业态的空间潜力，设立快闪、专区、专柜展销外贸优品，以“策划型招商＋保姆式运营赋能”加速供应链上企业实现内销落地。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开设转内销专属资源包。</w:t>
      </w:r>
      <w:r>
        <w:rPr>
          <w:rFonts w:hint="eastAsia" w:ascii="Times New Roman" w:hAnsi="Times New Roman" w:eastAsia="仿宋_GB2312" w:cs="Times New Roman"/>
          <w:sz w:val="32"/>
          <w:szCs w:val="32"/>
          <w:lang w:val="en-US" w:eastAsia="zh-CN"/>
        </w:rPr>
        <w:t>定制全渠道整合营销资源包，包括线下零售网点的活动区域和展示资源、i百联线上资源、重点时节营销与大促活动资源、社交媒体和社群推广资源，形成传播矩阵，提高国内消费者的认知度和购买意愿。（百联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上海电气亮相2025汉诺威工业博览会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秀硬核装备出海实力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近日，汉诺威工业博览会召开。作为中国高端装备制造业的代表，上海电气首次入驻汉诺威“智能制造”馆，以“创新·燃动世界新引擎”为主题，向世界展示在绿色低碳能源转型及AI赋能智能制造领域的创新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展会期间，上海电气与德国、英国、法国、埃及、赞比亚等10余个国家的企业签署了总额达36.37亿元人民币的战略合作协议，重点围绕绿色低碳、智慧基础设施、高端制造三大核心主题，推动风电、光伏、储能、航空制造、工业基础件等关键领域技术落地，通过跨国技术协同与产业生态的共建共享，向世界展示深度融合“走出去”与“引进来”的上海方案，为全球工业转型提供中国智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上海电气携航空行业自动化、新能源汽车行业以及零碳工业园区系统解决方案等20余项突破性产品亮相本次展会，并在展会期间发布三款全新产品，展现高端装备与智慧能源深度融合的创新成果。其中，“思考者”系列智慧光伏组件，搭载先进的智能控制模块，实现发电效率的大幅提升与实时优化；新一代氢能千方级I型槽，基于自主研发的高性能复合隔膜技术，可实现高产氢量、高能效、运维简易的技术优势；同时发布的50Nm³/h海水/废水制氢系统，创新开发适合海水/废水直接耦合电解制氢技术，可实现不同水质下，高效率、高耐受性的电解制氢能力，各项指标达到国内领先水平。（上海电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上海城投集团下属上海环境为“无废城市”建设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提供全新路径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近日，上海城投集团下属上海环境联合同济大学共同研发的“飞灰炉内低碳协同减量和无害化处理工艺”（以下简称“FAST工艺”）正式进入规模化推广阶段。这一国际首创、国际领先的飞灰处理技术以其低成本、高效率、全闭环的创新模式，成功破解了垃圾焚烧飞灰处理这一长期困扰行业的难题，为我国“无废城市”建设提供了全新路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FAST工艺充分利用垃圾焚烧厂既有设施，借鉴“海水制盐”原理，将飞灰中的污染物分解为氯化钠和氯化钾等工业盐，实现“近零废弃”，同时，FAST工艺还实现了废水、废气和废渣的零排放或合规处置，这一绿色成就既符合国家和上海市的政策导向，也为全球“无废城市”建设提供了一条可复制、可推广的宝贵技术路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FAST工艺的成功，不仅积极响应了国家“无废城市”建设的号召，更为全球固体废物近零填埋提供了可复制、可推广的技术路径，巩固了上海环境在固废处理领域的领先地位，为推动我国垃圾焚烧行业向近零填埋转型提供了全新的路径，还以其独特的优势，为中国在全球固废处理领域树立了新的标杆。（上海城投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全国首个跨省市、跨关区航空前置货站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上海机场——苏州前置货站启用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近日，由机场集团、中国东航集团、苏州工业园区、苏州港航集团联合打造的全国首个跨省市、跨关区的航空前置货站上海机场—苏州前置货站在苏州工业园区综合保税区正式启用，为苏州企业提供安全高效、便捷优惠的“家门口”航空货运服务。据测算，前置货站较常规模式节约物流时间12—24小时，降低地面物流成本约10—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上海机场积极参与前置货站的货运数字系统建立和货物操作流程标准设计，开放“天运通”航空货运信息平台，实现货物的预审、安检、收单、出运等全流程环节可视化和全过程监管。自去年11月前置货站投入试运行以来，已试操作业务44票、18吨，产品范围覆盖集成电路、生物医药（冷链）、医疗器械、汽车零部件、机械部件等，目的地遍及日韩、欧美及亚非拉地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上海机场—苏州前置货站的启用，是沪苏两地政府、民航、海关部门深入贯彻落实长三角一体化发展国家战略，携手推动区域协同发展的生动实践，有力提升了两地营商环境，进一步前移了上海机场对长三角区域产业链供应链的服务功能，未来将以更开放的姿态、更高效的模式、更智能的运作，更好帮助长三角地区企业“货通全球、提速发展”，助力上海建设全方位门户复合型国际航空枢纽，为区域经济协同发展贡献力量。（机场集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申迪集团旗下比斯特购物村打造高端购物旅游新体验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推动文旅商体展深度融合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申迪集团不断深耕“首选地”和“好去处”建设，以国际化视野推动文旅商体展深度融合，打造“都市旅游首选地”和“文旅深度融合示范区”。比斯特上海购物村开创了“高端购物+微度假”融合业态，自2016年运营以来实现年均双位数增长，2024年客流量突破406万人次，成为上海具有影响力的文旅商体展融合商业地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比斯特上海购物村由申迪集团与英国唯泰集团联合打造，于2019年正式获颁“国家AAAA级旅游景区”，作为上海国际旅游度假区重要功能项目，与迪士尼乐园形成强力互补。在距迪士尼乐园仅800米的黄金区位，依托度假区年超2000万客流量，打造Art Deco建筑美学空间。新月形临湖布局融合林荫步道、音乐喷泉等度假元素，将传统奥莱升级为“购物即度假”的沉浸式体验场域。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比斯特上海</w:t>
      </w:r>
      <w:bookmarkStart w:id="0" w:name="OLE_LINK2"/>
      <w:r>
        <w:rPr>
          <w:rFonts w:hint="eastAsia" w:ascii="Times New Roman" w:hAnsi="Times New Roman" w:eastAsia="仿宋_GB2312" w:cs="Times New Roman"/>
          <w:b w:val="0"/>
          <w:bCs w:val="0"/>
          <w:sz w:val="32"/>
          <w:szCs w:val="32"/>
          <w:lang w:val="en-US" w:eastAsia="zh-CN"/>
        </w:rPr>
        <w:t>购物村</w:t>
      </w:r>
      <w:bookmarkEnd w:id="0"/>
      <w:r>
        <w:rPr>
          <w:rFonts w:hint="eastAsia" w:ascii="Times New Roman" w:hAnsi="Times New Roman" w:eastAsia="仿宋_GB2312" w:cs="Times New Roman"/>
          <w:b w:val="0"/>
          <w:bCs w:val="0"/>
          <w:sz w:val="32"/>
          <w:szCs w:val="32"/>
          <w:lang w:val="en-US" w:eastAsia="zh-CN"/>
        </w:rPr>
        <w:t>始终坚持“全球视野，在地表达”的战略，本地团队创新打造“湖畔暖冬市集”等文化IP，“国际品牌库+本土场景化”的融合，使比斯特上海购物村始终保持强劲的吸引力，实现客流与销售双位数增长的亮眼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作为中外商业合作的典范之作，比斯特上海购物村正重新定义高端消费的空间价值，打造文化体验与精致生活融合的旅游目的地，其创新实践成为上海建设国际消费中心城市的“申迪样本”。（申迪集团）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上海港罗泾集装箱码头改造二期工程</w:t>
      </w:r>
      <w:bookmarkStart w:id="1" w:name="_GoBack"/>
      <w:bookmarkEnd w:id="1"/>
      <w:r>
        <w:rPr>
          <w:rFonts w:hint="eastAsia" w:ascii="华文中宋" w:hAnsi="华文中宋" w:eastAsia="华文中宋" w:cs="华文中宋"/>
          <w:b w:val="0"/>
          <w:bCs w:val="0"/>
          <w:color w:val="auto"/>
          <w:kern w:val="0"/>
          <w:sz w:val="36"/>
          <w:szCs w:val="36"/>
          <w:shd w:val="clear" w:color="auto" w:fill="FFFFFF"/>
          <w:lang w:val="en-US" w:eastAsia="zh-CN" w:bidi="ar"/>
        </w:rPr>
        <w:t>开工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打造全球智能码头新标杆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近日，上海港罗泾港区集装箱码头改造二期工程全面开工。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本次开工的罗泾集装箱码头改造二期工程紧临罗泾港区一期工程下游侧，码头平面呈“F”形，分前、后、内三档布置：前档建设1个10万吨集装箱泊位，后档建设2个1万吨集装箱泊位，内档建设1个1万吨集装箱泊位以及配套工作船泊位，泊位总长度1202.9米，陆域面积29.50万平方米，设计吞吐量为140万TEU/年。延续一期工程采用自主研发的智能营运管控系统（NEO-TOS），二期工程以自动控制技术、大数据及人工智能等为依托，集成应用F5G、5G、车路协同、高精度融合定位等技术，全面实现码头设备的智能化运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本次改造工程是以新质生产力助力超大型码头功能转型升级的重要实践，将形成高质量推动国内自动化集装箱码头核心技术的全栈自主可控的示范应用，为数字化、智能化、绿色化转型发展的“中国式港口现代化”提供可复制、可推广经验，更好服务国内国际“双循环”和长江经济带发展战略，促进我国对外贸易和经济社会发展。（上港集团、上海建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仿宋_GB2312" w:cs="Times New Roman"/>
          <w:b w:val="0"/>
          <w:bCs w:val="0"/>
          <w:sz w:val="32"/>
          <w:szCs w:val="32"/>
          <w:lang w:val="en-US" w:eastAsia="zh-CN"/>
        </w:rPr>
      </w:pPr>
    </w:p>
    <w:sectPr>
      <w:footerReference r:id="rId3" w:type="default"/>
      <w:footerReference r:id="rId4" w:type="even"/>
      <w:pgSz w:w="11906" w:h="16838"/>
      <w:pgMar w:top="1383" w:right="1689" w:bottom="1440" w:left="168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730B"/>
    <w:rsid w:val="080229C2"/>
    <w:rsid w:val="09F83F30"/>
    <w:rsid w:val="0A971B3B"/>
    <w:rsid w:val="0DAD5474"/>
    <w:rsid w:val="10230ECA"/>
    <w:rsid w:val="162A04E8"/>
    <w:rsid w:val="190C16D7"/>
    <w:rsid w:val="1A2F2214"/>
    <w:rsid w:val="1A7F5348"/>
    <w:rsid w:val="1C012633"/>
    <w:rsid w:val="1D981EDF"/>
    <w:rsid w:val="216A3DB7"/>
    <w:rsid w:val="219E3C2C"/>
    <w:rsid w:val="22A80C48"/>
    <w:rsid w:val="23C0706B"/>
    <w:rsid w:val="24C743FC"/>
    <w:rsid w:val="24ED2A08"/>
    <w:rsid w:val="25097D46"/>
    <w:rsid w:val="2516574D"/>
    <w:rsid w:val="2666515F"/>
    <w:rsid w:val="27300D39"/>
    <w:rsid w:val="2760460C"/>
    <w:rsid w:val="285E6A86"/>
    <w:rsid w:val="29254C53"/>
    <w:rsid w:val="2B7012F8"/>
    <w:rsid w:val="2C014C4B"/>
    <w:rsid w:val="2E361A68"/>
    <w:rsid w:val="2ECE3A26"/>
    <w:rsid w:val="300D329E"/>
    <w:rsid w:val="301B7493"/>
    <w:rsid w:val="30290226"/>
    <w:rsid w:val="31CD5D35"/>
    <w:rsid w:val="32500983"/>
    <w:rsid w:val="35514402"/>
    <w:rsid w:val="3554216E"/>
    <w:rsid w:val="3AB20F60"/>
    <w:rsid w:val="3AD04F66"/>
    <w:rsid w:val="3EFA3C04"/>
    <w:rsid w:val="3FD0329A"/>
    <w:rsid w:val="42CA1BFE"/>
    <w:rsid w:val="433D0234"/>
    <w:rsid w:val="492935CE"/>
    <w:rsid w:val="492A6C68"/>
    <w:rsid w:val="49F1532D"/>
    <w:rsid w:val="4E0A31AD"/>
    <w:rsid w:val="4EFB4E75"/>
    <w:rsid w:val="4F2F47E9"/>
    <w:rsid w:val="4F5C7BC8"/>
    <w:rsid w:val="4F95631A"/>
    <w:rsid w:val="51C25036"/>
    <w:rsid w:val="53364766"/>
    <w:rsid w:val="53632B61"/>
    <w:rsid w:val="538818A6"/>
    <w:rsid w:val="54974361"/>
    <w:rsid w:val="5AF067D6"/>
    <w:rsid w:val="5C992FBD"/>
    <w:rsid w:val="5E594303"/>
    <w:rsid w:val="611E599C"/>
    <w:rsid w:val="62724DE1"/>
    <w:rsid w:val="64D3375B"/>
    <w:rsid w:val="64FE76EA"/>
    <w:rsid w:val="663D7A79"/>
    <w:rsid w:val="67294FEC"/>
    <w:rsid w:val="6E8577EF"/>
    <w:rsid w:val="71044AAD"/>
    <w:rsid w:val="71C61BB7"/>
    <w:rsid w:val="71F25086"/>
    <w:rsid w:val="7298684C"/>
    <w:rsid w:val="748D3600"/>
    <w:rsid w:val="74F4564D"/>
    <w:rsid w:val="76675694"/>
    <w:rsid w:val="77D56B93"/>
    <w:rsid w:val="77F7F08C"/>
    <w:rsid w:val="7BE562F0"/>
    <w:rsid w:val="7C171F28"/>
    <w:rsid w:val="7E724FEE"/>
    <w:rsid w:val="7FF9564B"/>
    <w:rsid w:val="8FDF3915"/>
    <w:rsid w:val="D7BDA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2025-04-01T02:28:00Z</dcterms:created>
  <dc:creator>user</dc:creator>
  <cp:lastModifiedBy>user</cp:lastModifiedBy>
  <dcterms:modified xsi:type="dcterms:W3CDTF">2025-04-16T06:00:57Z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114D1A3220C1F70B5C33FE67C4354511</vt:lpwstr>
  </property>
</Properties>
</file>