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bookmarkStart w:id="0" w:name="_GoBack"/>
      <w:bookmarkEnd w:id="0"/>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15</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6</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eastAsia="zh-CN" w:bidi="ar"/>
        </w:rPr>
      </w:pPr>
      <w:r>
        <w:rPr>
          <w:rFonts w:hint="eastAsia" w:ascii="华文中宋" w:hAnsi="华文中宋" w:eastAsia="华文中宋" w:cs="华文中宋"/>
          <w:b w:val="0"/>
          <w:bCs w:val="0"/>
          <w:color w:val="auto"/>
          <w:sz w:val="36"/>
          <w:szCs w:val="36"/>
          <w:shd w:val="clear" w:color="auto" w:fill="FFFFFF"/>
          <w:lang w:eastAsia="zh-CN" w:bidi="ar"/>
        </w:rPr>
        <w:t>中国太保发布500亿战新并购基金</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eastAsia="zh-CN" w:bidi="ar"/>
        </w:rPr>
      </w:pPr>
      <w:r>
        <w:rPr>
          <w:rFonts w:hint="eastAsia" w:ascii="华文中宋" w:hAnsi="华文中宋" w:eastAsia="华文中宋" w:cs="华文中宋"/>
          <w:b w:val="0"/>
          <w:bCs w:val="0"/>
          <w:color w:val="auto"/>
          <w:sz w:val="36"/>
          <w:szCs w:val="36"/>
          <w:shd w:val="clear" w:color="auto" w:fill="FFFFFF"/>
          <w:lang w:eastAsia="zh-CN" w:bidi="ar"/>
        </w:rPr>
        <w:t>与私募证券投资基金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中国太保正式发布总规模500亿元的太保战新并购基金与私募证券投资基金。上海市委常委、常务副市长吴伟出席仪式并正式启动两大基金。上海市政府副秘书长刘平，上海市国资委党委书记、主任贺青出席活动。中国太保党委书记、董事长傅帆主持发布仪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资基金是国有经济的重要组成部分，既是国有企业承接战略使命任务的重要载体，也是国企提升核心竞争力的重要支撑。本次两大基金发布是中国太保深入贯彻党的二十大精神，服务“金融强国”和上海“五个中心”建设，支持国内资本市场发展，提升金融服务能级的主动作为。其中：太保战新并购私募基金（暂定名，以基金正式备案名称为准）目标规模300亿元，首期规模100亿元，聚焦上海国资国企改革和现代化产业体系建设的重点领域，推动上海战新产业加快发展和重点产业强链补链，打造以“长期资本＋并购整合＋资源协同”为特色的上海国资创新转型生态。太保致远1号私募证券投资基金（暂定名，以基金正式备案名称为准）目标规模200亿元，旨在响应国家“扩大保险机构设立私募证券投资基金改革试点”号召，积极践行长期主义，发挥耐心资本优势，完善长周期权益资产配置体系，聚焦股息价值核心投资策略，助力资本市场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中国太保始终秉持战略定力，聚焦金融“五篇大文章”，加大科技保险和投资支持，普惠保险覆盖超2亿人次，绿色保险总额超360万亿元，绿色投资规模超2600亿元。同时，发挥保险资金长期稳定优势，持续完善对上海三大先导产业及科技型企业的保险服务供给，重点布局医疗健康、先进制造、人工智能等战新产业，服务企业超1万家，科技投资规模突破千亿元，在服务国家战略和上海发展中走稳走深走实高质量发展之路。（中国太保）</w:t>
      </w:r>
    </w:p>
    <w:p>
      <w:pPr>
        <w:keepNext w:val="0"/>
        <w:keepLines w:val="0"/>
        <w:widowControl w:val="0"/>
        <w:suppressLineNumbers w:val="0"/>
        <w:spacing w:before="0" w:beforeLines="-2147483648" w:after="0" w:afterLines="-2147483648" w:line="600" w:lineRule="exact"/>
        <w:ind w:firstLine="640" w:firstLineChars="200"/>
        <w:jc w:val="both"/>
        <w:rPr>
          <w:rFonts w:hint="eastAsia" w:ascii="Times New Roman" w:hAnsi="Times New Roman" w:eastAsia="仿宋_GB2312" w:cs="Times New Roman"/>
          <w:b w:val="0"/>
          <w:bCs w:val="0"/>
          <w:color w:val="auto"/>
          <w:sz w:val="32"/>
          <w:szCs w:val="32"/>
          <w:shd w:val="clear" w:color="auto" w:fill="auto"/>
          <w:lang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上海浦东国际机场获亚太地区连通性最佳机场第一名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中国民用机场协会联合国际机场协会亚太及中东区在沪召开2025年航空连通性大会。大会发布了“国际机场协会（ACI）亚太及中东区2024年航空连通性排名”，上海浦东国际机场和阿联酋迪拜机场分别荣获亚太地区和中东地区连通性最佳机场第一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2024年，全球航空旅客吞吐量约77亿人次，货邮吞吐量超1亿吨，其中亚太及中东地区的客货运市场占比高达33.4%和43.4%，是推动全球经济和贸易增长的重要力量。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上海机场年旅客吞吐量超1.24亿人次，创历史新高。货邮吞吐量420.6万吨，全球排名首次跃升至全球第2，国际航空枢纽网络覆盖全球48个国家的291个航点。去年以来，上海机场积极服务航司恢复和新增航线航点，新增了意大利威尼斯、希腊雅典、法国马赛、沙特利雅得、塞尔维亚贝尔格莱德、摩洛哥卡萨布兰卡等国际通航点，年内还将新增首条直飞中亚国家哈萨克斯坦奇姆肯特，以及瑞士日内瓦、日本熊本、哈萨克斯坦阿拉木图、乌兹别克斯坦塔什干、蒙古乌兰巴托等地的航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前上海正加速推进全方位门户复合型国际航空枢纽建设，全力建设便捷高效、功能完备、开放融合、绿色智慧、保障有力的世界一流国际航运中心。近年来，上海机场硬件设施不断完善，航线网络持续拓展，运量规模和中转规模快速增长，上海机场正加快携手航司推出更丰富的客货运中转产品、深化空地联运新模式，持续提升入境便利化水平和旅客服务品质。（机场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spacing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上海建工全产业链</w:t>
      </w:r>
      <w:r>
        <w:rPr>
          <w:rFonts w:hint="eastAsia" w:ascii="华文中宋" w:hAnsi="华文中宋" w:eastAsia="华文中宋" w:cs="华文中宋"/>
          <w:b w:val="0"/>
          <w:bCs w:val="0"/>
          <w:color w:val="auto"/>
          <w:sz w:val="36"/>
          <w:szCs w:val="36"/>
          <w:shd w:val="clear" w:color="auto" w:fill="FFFFFF"/>
          <w:lang w:val="en-US" w:eastAsia="zh-CN" w:bidi="ar"/>
        </w:rPr>
        <w:t>助力</w:t>
      </w:r>
      <w:r>
        <w:rPr>
          <w:rFonts w:hint="eastAsia" w:ascii="华文中宋" w:hAnsi="华文中宋" w:eastAsia="华文中宋" w:cs="华文中宋"/>
          <w:b w:val="0"/>
          <w:bCs w:val="0"/>
          <w:color w:val="auto"/>
          <w:sz w:val="36"/>
          <w:szCs w:val="36"/>
          <w:shd w:val="clear" w:color="auto" w:fill="FFFFFF"/>
          <w:lang w:bidi="ar"/>
        </w:rPr>
        <w:t>第二艘国产大型邮轮扬帆起航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近日</w:t>
      </w:r>
      <w:r>
        <w:rPr>
          <w:rFonts w:hint="eastAsia" w:ascii="Times New Roman" w:hAnsi="Times New Roman" w:eastAsia="仿宋_GB2312" w:cs="Times New Roman"/>
          <w:sz w:val="32"/>
          <w:szCs w:val="32"/>
        </w:rPr>
        <w:t>，总吨位超过14万吨的第二艘国产大型邮轮“爱达·花城号”，在中国船舶集团有限公司旗下上海外高桥造船有限公司实现坞内起浮，标志着这艘邮轮已全面转入内装和系统完工调试阶段，将为2026年底完工交付打下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继首艘国产大型邮轮“爱达·魔都号”在2023年11月正式交付后，上海建工再次参与了第二艘国产大型邮轮的建造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承担</w:t>
      </w:r>
      <w:r>
        <w:rPr>
          <w:rFonts w:hint="eastAsia" w:ascii="Times New Roman" w:hAnsi="Times New Roman" w:eastAsia="仿宋_GB2312" w:cs="Times New Roman"/>
          <w:sz w:val="32"/>
          <w:szCs w:val="32"/>
          <w:lang w:eastAsia="zh-CN"/>
        </w:rPr>
        <w:t>邮轮餐饮及冷库区域管系和电气背景工程、公共区域部分电气背景工程、全船HVAC和消防系统调试，</w:t>
      </w:r>
      <w:r>
        <w:rPr>
          <w:rFonts w:hint="eastAsia" w:ascii="Times New Roman" w:hAnsi="Times New Roman" w:eastAsia="仿宋_GB2312" w:cs="Times New Roman"/>
          <w:sz w:val="32"/>
          <w:szCs w:val="32"/>
          <w:lang w:val="en-US" w:eastAsia="zh-CN"/>
        </w:rPr>
        <w:t>以及关键公区装饰工程。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与首艘邮轮相比，“爱达·花城号”从分段预舾装到入坞总装搭载，再到完成首次起浮的同期进度提前了12%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这得益于外高桥造船与上海建工在科技创新方面的共同努力：聚焦邮轮内装系统标准化与适配性安装体系的构建，探索“刚性标准+柔性适配”，依托模块化与接口标准技术、精益预制和预装技术、精准定位与动态调整技术，突破传统内装施工局限；完成“爱达·花城号”内装17个核心重难点公区的数字化建模等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eastAsia="zh-CN"/>
        </w:rPr>
      </w:pPr>
      <w:r>
        <w:rPr>
          <w:rFonts w:hint="eastAsia" w:ascii="Times New Roman" w:hAnsi="Times New Roman" w:eastAsia="仿宋_GB2312" w:cs="Times New Roman"/>
          <w:sz w:val="32"/>
          <w:szCs w:val="32"/>
        </w:rPr>
        <w:t>参与邮轮建造是上海建工在六大新兴业务新基建领域的持续开拓和重要实践。按照国产大型邮轮工程总目标，</w:t>
      </w:r>
      <w:r>
        <w:rPr>
          <w:rFonts w:hint="eastAsia" w:ascii="Times New Roman" w:hAnsi="Times New Roman" w:eastAsia="仿宋_GB2312" w:cs="Times New Roman"/>
          <w:sz w:val="32"/>
          <w:szCs w:val="32"/>
          <w:lang w:val="en-US" w:eastAsia="zh-CN"/>
        </w:rPr>
        <w:t>上海建工与外高桥造船将携手</w:t>
      </w:r>
      <w:r>
        <w:rPr>
          <w:rFonts w:hint="eastAsia" w:ascii="Times New Roman" w:hAnsi="Times New Roman" w:eastAsia="仿宋_GB2312" w:cs="Times New Roman"/>
          <w:sz w:val="32"/>
          <w:szCs w:val="32"/>
        </w:rPr>
        <w:t>建立大型邮轮工程和重点科研工作协调制度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加大关键核心领域攻坚突破力度，为促进海洋经济发展和海洋强国建设作出更大贡献</w:t>
      </w:r>
      <w:r>
        <w:rPr>
          <w:rFonts w:hint="eastAsia" w:ascii="Times New Roman" w:hAnsi="Times New Roman" w:eastAsia="仿宋_GB2312" w:cs="Times New Roman"/>
          <w:sz w:val="32"/>
          <w:szCs w:val="32"/>
          <w:lang w:eastAsia="zh-CN"/>
        </w:rPr>
        <w:t>。</w:t>
      </w:r>
      <w:r>
        <w:rPr>
          <w:rFonts w:hint="eastAsia" w:ascii="华文仿宋" w:hAnsi="华文仿宋" w:eastAsia="华文仿宋" w:cs="华文仿宋"/>
          <w:sz w:val="32"/>
          <w:szCs w:val="32"/>
          <w:lang w:eastAsia="zh-CN"/>
        </w:rPr>
        <w:t>（上海建工）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锦江航运深耕亚洲近洋市场</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bidi="ar"/>
        </w:rPr>
        <w:t>打造差异化精品服务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上海锦江航运（集团）股份有限公司（以下简称“锦江航运”）</w:t>
      </w:r>
      <w:r>
        <w:rPr>
          <w:rFonts w:hint="eastAsia" w:ascii="Times New Roman" w:hAnsi="Times New Roman" w:eastAsia="仿宋_GB2312" w:cs="Times New Roman"/>
          <w:sz w:val="32"/>
          <w:szCs w:val="32"/>
          <w:lang w:eastAsia="zh-CN"/>
        </w:rPr>
        <w:t>是上港集团</w:t>
      </w:r>
      <w:r>
        <w:rPr>
          <w:rFonts w:hint="eastAsia" w:ascii="Times New Roman" w:hAnsi="Times New Roman" w:eastAsia="仿宋_GB2312" w:cs="Times New Roman"/>
          <w:sz w:val="32"/>
          <w:szCs w:val="32"/>
        </w:rPr>
        <w:t>旗下控股公司，主要从事国际、国内海上集装箱运输业务。</w:t>
      </w:r>
      <w:r>
        <w:rPr>
          <w:rFonts w:hint="eastAsia" w:ascii="Times New Roman" w:hAnsi="Times New Roman" w:eastAsia="仿宋_GB2312" w:cs="Times New Roman"/>
          <w:sz w:val="32"/>
          <w:szCs w:val="32"/>
          <w:lang w:eastAsia="zh-CN"/>
        </w:rPr>
        <w:t>近年来，锦江航运深耕亚洲近洋市场，</w:t>
      </w:r>
      <w:r>
        <w:rPr>
          <w:rFonts w:hint="eastAsia" w:ascii="Times New Roman" w:hAnsi="Times New Roman" w:eastAsia="仿宋_GB2312" w:cs="Times New Roman"/>
          <w:sz w:val="32"/>
          <w:szCs w:val="32"/>
          <w:lang w:val="en-US" w:eastAsia="zh-CN"/>
        </w:rPr>
        <w:t>凭借船舶高准班率和“精确到小时”的快速交货服务，将差异化精品服务铸造为其差异化的核心竞争力之一。2024年，锦江航运实现归母净利润约10.21亿元，同比上涨37.45%。2025年一季度锦江航运实现归母净利润约3.57亿元，同比上涨187.07%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长期深耕东北亚与两岸间航线基本盘，构筑经营压舱石。</w:t>
      </w:r>
      <w:r>
        <w:rPr>
          <w:rFonts w:hint="eastAsia" w:ascii="Times New Roman" w:hAnsi="Times New Roman" w:eastAsia="仿宋_GB2312" w:cs="Times New Roman"/>
          <w:sz w:val="32"/>
          <w:szCs w:val="32"/>
          <w:lang w:val="en-US" w:eastAsia="zh-CN"/>
        </w:rPr>
        <w:t>锦江航运以船舶高准班率为支撑，依托HDS（Hot Delivery Service）等特色服务，打造了上海—日本、太仓—日本、青岛—日本、大连—日本等多条精品航线，以HDS为核心的高品质服务持续巩固客户黏性，为客户缩短物流周期、降低库存成本。经过迭代创新后推出的SuperHDS升级版解决方案，满足了客户对高品质航运服务的细分需求。在上海—日本航线及上海两岸间航线市场占有率连续多年保持第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东南亚精品航线复制正在进行时，打造东南亚第二增长极。</w:t>
      </w:r>
      <w:r>
        <w:rPr>
          <w:rFonts w:hint="eastAsia" w:ascii="Times New Roman" w:hAnsi="Times New Roman" w:eastAsia="仿宋_GB2312" w:cs="Times New Roman"/>
          <w:sz w:val="32"/>
          <w:szCs w:val="32"/>
          <w:lang w:val="en-US" w:eastAsia="zh-CN"/>
        </w:rPr>
        <w:t>基于东北亚精品航线的成功经验，锦江航运创新打造了海防丝路快航、泰越丝路快航、泰越快线等“丝路快航”系列精品航线，“快航服务模式”逐步获得市场认可。今年4月又成功推出东南亚精品航线“胡志明丝路快航”（SSX），并于5月升级延伸至日本地区，提供越南胡志明-日本名古屋、清水的快速直航服务，为客户提供更具竞争力的多元化物流解决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探索新兴市场，满足客户差异化需求不断拓展航线覆盖面。</w:t>
      </w:r>
      <w:r>
        <w:rPr>
          <w:rFonts w:hint="eastAsia" w:ascii="Times New Roman" w:hAnsi="Times New Roman" w:eastAsia="仿宋_GB2312" w:cs="Times New Roman"/>
          <w:sz w:val="32"/>
          <w:szCs w:val="32"/>
          <w:lang w:val="en-US" w:eastAsia="zh-CN"/>
        </w:rPr>
        <w:t>锦江航运航线网络拓展至巴基斯坦、斯里兰卡等南亚区域以及阿联酋等中东区域，新增挂靠印度那瓦西瓦、蒙德拉、杰贝阿里等口岸，为精品航线配套布局的境内外销售和服务网点数量达到28个。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高度重视股东回报，与股东共享企业发展成果。</w:t>
      </w:r>
      <w:r>
        <w:rPr>
          <w:rFonts w:hint="eastAsia" w:ascii="Times New Roman" w:hAnsi="Times New Roman" w:eastAsia="仿宋_GB2312" w:cs="Times New Roman"/>
          <w:sz w:val="32"/>
          <w:szCs w:val="32"/>
          <w:lang w:val="en-US" w:eastAsia="zh-CN"/>
        </w:rPr>
        <w:t>锦江航运牢固树立投资者回报意识，通过实施稳定且可预期的分红政策，与股东共享企业发展成果，实现公司价值、股东价值的最大化。2024年全年拟派发现金红利5.15亿元（含税），分红比例达50.46%。上市两年以来，公司分红比例均超过50%。稳定的分红政策彰显公司对盈利质量的信心，也为投资者提供长期价值锚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望未来，锦江航运将坚守品牌战略，继续深耕东北亚市场，拓展东南亚市场，培育南亚、中东等新兴市场，优化物流资源配置，提升产业链服务能级，提高航线经营韧性，为全面建成上海国际航运中心做出新贡献。（上港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上海农商银行“心家园”公益服务项目携手“惠农市集”助力乡村振兴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近日，上海农商银行“心家园”公益服务项目首次携手“驻村第一书记‘惠农市集’”一同走进社区，让市民在家门口就可以买到绿色、新鲜、实惠的农副产品。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为全面推进乡村振兴，上海部署开展了城乡党组织结对帮扶工作，遴选出一批资源力量较丰富、专业优势较突出、发展带动能力较强的党组织到经济任务较重的村进行驻村结对帮扶，因地制宜支持帮助乡村发展。“驻村第一书记‘惠农市集’”正是驻村书记在发挥当地资源优势、拓宽农民增收致富渠道过程中探索出来的特色帮扶做法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农商银行响应深化城乡结对帮扶工作的号召，积极联动“驻村第一书记‘惠农市集’”，依托全市超千家“心家园”公益服务站和“心家园”微信小程序线上惠购专区，为市民带来“名特优”农产品惠购服务，同时推动农产品企业发展、助力乡村振兴。截至目前，“心家园”农品惠购已经与上海松林食品、崇明沙乌头、金山鑫品美、青浦今粹农业、浦东新区蓓佳果蔬等企业开展专属惠购合作，并在黄浦、徐汇、普陀、虹口、杨浦等区开展农品惠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心家园”公益服务项目坚持发挥金融推动城乡资源均衡配置和自由流动的功能，通过调研挖掘乡村优质农企、宣传提升农品知名度、融入社区开展惠购等方式，推动乡村优势资源向城市共享，实现满足市民日益多元化的食品消费需求和拓宽农民更多增收渠道的双向奔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上海农商银行还将继续探索金融服务乡村振兴、赋能社区治理，深化“农企+社区+银行”合作模式，积极联合“驻村第一书记‘惠农市集’”、社区集市以及各类公益专题活动，走进更多街道乡镇、企业园区，为建设上海“15分钟社区生活圈”、深入贯彻落实国家乡村振兴战略添砖加瓦。（上海农商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锦江国际集团推出“光影夜巷”嘉年华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前，由锦江国际集团旗下锦江城市服务与中央广播电视总台旗下CMG融媒影城强强联手打造的一场融合美食、文创与光影艺术的狂欢盛宴——“光影夜巷”美食文创嘉年华启幕。嘉年华活动通过多元业态的深度融合，为市民游客带来全新的夜间消费体验，也为徐汇滨江注入新的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本次嘉年华中，锦江城市服务公司充分发挥锦江全产业链优势，携手锦江食品、锦江乐园士林夜市、国际饭店、虹桥宾馆等锦江品牌亮相“光影夜巷”，助力打造滨江新网红打卡地。锦江乐园士林夜市推动台湾特色小吃与本地美食文化相融合，锦江食品带来国际饭店蝴蝶酥和虹桥宾馆手工焦糖酥等上海特色美食，锦江物业引入加菲猫IP主题活动和机器人互动体验，为市民游客带去浓浓“烟火气”和科技“新潮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次“光影夜巷”美食文创嘉年华的举办，是锦江城市服务公司的一次创新尝试，通过整合资源，发挥优势，打造集美食、文创、娱乐于一体的消费场景，助力徐汇滨江打造城市夜生活新地标和夜经济发展。（锦江国际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久事集团拥抱数字体育产业新未来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英雄亚洲冠军联赛在上海圆满落幕，久事体育场馆东方体育中心再度作为冠军联赛场馆之一提供赛事保障。久事体育持续助力电竞产业发展，既是契合体育产业发展的需要，也是推动上海建设“全球电竞之都”的使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久事体育场馆东方体育中心拥有强大的硬件保障和专业的场馆设施，曾多次举办顶级电竞赛事，有着丰厚的电竞底蕴，见证了上海电竞赛事的快速发展。刚结束的英雄亚冠ACL，则是亚洲范围内级别最高、规模最大的国际综合性电竞赛事，其成功落地不光是上海“电竞之都”实力的体现，也为全球电竞产业发展提供了“中国样板”。为期三天的总决赛在东方体育中心等三大场馆同步举行，迎来近4万名线下观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竞赛事与传统体育、文化、旅游的深度融合，成为上海电竞生态的一大特色。久事体育旗下运管公司也深度参与文体旅商展联动，在赛事场馆资源、赛事运营管理、赛事宣传推广、赛事综合服务及赛事体验提升等各方面展开全方位合作，借助久事集团在文、体、旅、商等各领域的资源，协同发力，打造新消费场景，助力上海电竞赛事IP培育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未来，久事体育将继续发挥资源优势，力争在电竞领域留下坚实的脚印，推动上海电竞产业的国际化进程，为上海“全球电竞之都”和“全球著名体育城市”建设贡献更多力量。（久事集团）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C26AB7"/>
    <w:rsid w:val="02542A68"/>
    <w:rsid w:val="02CF179A"/>
    <w:rsid w:val="032019A3"/>
    <w:rsid w:val="03983AEF"/>
    <w:rsid w:val="03A4182A"/>
    <w:rsid w:val="0445609B"/>
    <w:rsid w:val="06AB0FB7"/>
    <w:rsid w:val="070B0A6A"/>
    <w:rsid w:val="073C1BB7"/>
    <w:rsid w:val="07825089"/>
    <w:rsid w:val="07B63ECE"/>
    <w:rsid w:val="07C0730B"/>
    <w:rsid w:val="080229C2"/>
    <w:rsid w:val="08A27432"/>
    <w:rsid w:val="09017ABC"/>
    <w:rsid w:val="09F83F30"/>
    <w:rsid w:val="0A1E0C9C"/>
    <w:rsid w:val="0A971B3B"/>
    <w:rsid w:val="0ACB1125"/>
    <w:rsid w:val="0DAD5474"/>
    <w:rsid w:val="0E3C6235"/>
    <w:rsid w:val="0F764DF6"/>
    <w:rsid w:val="0F7A7CAA"/>
    <w:rsid w:val="10230ECA"/>
    <w:rsid w:val="10F75119"/>
    <w:rsid w:val="118F67AC"/>
    <w:rsid w:val="11AA31D0"/>
    <w:rsid w:val="1236585E"/>
    <w:rsid w:val="13540142"/>
    <w:rsid w:val="13F66A35"/>
    <w:rsid w:val="162A04E8"/>
    <w:rsid w:val="165476B9"/>
    <w:rsid w:val="190C16D7"/>
    <w:rsid w:val="193C57A2"/>
    <w:rsid w:val="1A2F2214"/>
    <w:rsid w:val="1A7F5348"/>
    <w:rsid w:val="1C012633"/>
    <w:rsid w:val="1C5A0EBF"/>
    <w:rsid w:val="1C7812E6"/>
    <w:rsid w:val="1CF006D7"/>
    <w:rsid w:val="1D981EDF"/>
    <w:rsid w:val="1F0410D5"/>
    <w:rsid w:val="207B5586"/>
    <w:rsid w:val="20F929D3"/>
    <w:rsid w:val="216A3DB7"/>
    <w:rsid w:val="219E3C2C"/>
    <w:rsid w:val="22A80C48"/>
    <w:rsid w:val="22EA71EF"/>
    <w:rsid w:val="23C0706B"/>
    <w:rsid w:val="24C743FC"/>
    <w:rsid w:val="24ED2A08"/>
    <w:rsid w:val="25097D46"/>
    <w:rsid w:val="250D4823"/>
    <w:rsid w:val="2516574D"/>
    <w:rsid w:val="25F5339D"/>
    <w:rsid w:val="2666515F"/>
    <w:rsid w:val="26C35C39"/>
    <w:rsid w:val="27300D39"/>
    <w:rsid w:val="2760460C"/>
    <w:rsid w:val="27A9758C"/>
    <w:rsid w:val="281744F4"/>
    <w:rsid w:val="28244762"/>
    <w:rsid w:val="285E6A86"/>
    <w:rsid w:val="29254C53"/>
    <w:rsid w:val="2B7012F8"/>
    <w:rsid w:val="2C014C4B"/>
    <w:rsid w:val="2C1F554F"/>
    <w:rsid w:val="2E361A68"/>
    <w:rsid w:val="2EB77C5F"/>
    <w:rsid w:val="2ECE3A26"/>
    <w:rsid w:val="2F2F162D"/>
    <w:rsid w:val="2F7375FF"/>
    <w:rsid w:val="2FDD0E25"/>
    <w:rsid w:val="300D329E"/>
    <w:rsid w:val="301B7493"/>
    <w:rsid w:val="301F3094"/>
    <w:rsid w:val="30290226"/>
    <w:rsid w:val="312F01DD"/>
    <w:rsid w:val="31CD5D35"/>
    <w:rsid w:val="31E6344B"/>
    <w:rsid w:val="32500983"/>
    <w:rsid w:val="33FA0291"/>
    <w:rsid w:val="343329BE"/>
    <w:rsid w:val="35514402"/>
    <w:rsid w:val="3554216E"/>
    <w:rsid w:val="37597A7D"/>
    <w:rsid w:val="3786512C"/>
    <w:rsid w:val="38920A60"/>
    <w:rsid w:val="3A4C40CC"/>
    <w:rsid w:val="3AB20F60"/>
    <w:rsid w:val="3AD04F66"/>
    <w:rsid w:val="3AF77724"/>
    <w:rsid w:val="3B7C5DBF"/>
    <w:rsid w:val="3BCB23D0"/>
    <w:rsid w:val="3C3E6BFF"/>
    <w:rsid w:val="3EDF369D"/>
    <w:rsid w:val="3EFA3C04"/>
    <w:rsid w:val="3FA24FAE"/>
    <w:rsid w:val="3FC0550C"/>
    <w:rsid w:val="3FD0329A"/>
    <w:rsid w:val="406250BE"/>
    <w:rsid w:val="40CA3488"/>
    <w:rsid w:val="41004E13"/>
    <w:rsid w:val="417409FD"/>
    <w:rsid w:val="41EF0922"/>
    <w:rsid w:val="42CA1BFE"/>
    <w:rsid w:val="433D0234"/>
    <w:rsid w:val="435D2315"/>
    <w:rsid w:val="446C643C"/>
    <w:rsid w:val="44816CA3"/>
    <w:rsid w:val="469541D9"/>
    <w:rsid w:val="46E70277"/>
    <w:rsid w:val="470E1118"/>
    <w:rsid w:val="478C75E0"/>
    <w:rsid w:val="492935CE"/>
    <w:rsid w:val="492A6C68"/>
    <w:rsid w:val="49933CCA"/>
    <w:rsid w:val="49F1532D"/>
    <w:rsid w:val="4B70108D"/>
    <w:rsid w:val="4B8259EC"/>
    <w:rsid w:val="4C1B6F2D"/>
    <w:rsid w:val="4D0079D8"/>
    <w:rsid w:val="4DBF241A"/>
    <w:rsid w:val="4E0A31AD"/>
    <w:rsid w:val="4EFB4E75"/>
    <w:rsid w:val="4F11272B"/>
    <w:rsid w:val="4F2F47E9"/>
    <w:rsid w:val="4F5C7BC8"/>
    <w:rsid w:val="4F95631A"/>
    <w:rsid w:val="4FB57281"/>
    <w:rsid w:val="503932A1"/>
    <w:rsid w:val="510D22FC"/>
    <w:rsid w:val="51C25036"/>
    <w:rsid w:val="5243570B"/>
    <w:rsid w:val="525E7AE8"/>
    <w:rsid w:val="53167F10"/>
    <w:rsid w:val="53364766"/>
    <w:rsid w:val="53632B61"/>
    <w:rsid w:val="538818A6"/>
    <w:rsid w:val="53A32F56"/>
    <w:rsid w:val="54974361"/>
    <w:rsid w:val="55231E61"/>
    <w:rsid w:val="55E83B43"/>
    <w:rsid w:val="55FB53BC"/>
    <w:rsid w:val="55FE3C08"/>
    <w:rsid w:val="566F2BF8"/>
    <w:rsid w:val="572B77F8"/>
    <w:rsid w:val="577B7AE2"/>
    <w:rsid w:val="58E6403D"/>
    <w:rsid w:val="59AE5830"/>
    <w:rsid w:val="5A31389F"/>
    <w:rsid w:val="5AF067D6"/>
    <w:rsid w:val="5B4F2CF8"/>
    <w:rsid w:val="5C80120B"/>
    <w:rsid w:val="5C992FBD"/>
    <w:rsid w:val="5D1C099F"/>
    <w:rsid w:val="5E594303"/>
    <w:rsid w:val="5ED03E9D"/>
    <w:rsid w:val="60613598"/>
    <w:rsid w:val="60D263E2"/>
    <w:rsid w:val="611E599C"/>
    <w:rsid w:val="61387C21"/>
    <w:rsid w:val="62724DE1"/>
    <w:rsid w:val="62B3439F"/>
    <w:rsid w:val="64AB25A5"/>
    <w:rsid w:val="64C959FB"/>
    <w:rsid w:val="64D3375B"/>
    <w:rsid w:val="64D708AB"/>
    <w:rsid w:val="64D90FE5"/>
    <w:rsid w:val="64FE76EA"/>
    <w:rsid w:val="65377345"/>
    <w:rsid w:val="663D7A79"/>
    <w:rsid w:val="664877E1"/>
    <w:rsid w:val="67294FEC"/>
    <w:rsid w:val="6A5E142E"/>
    <w:rsid w:val="6D935D0C"/>
    <w:rsid w:val="6E2A4363"/>
    <w:rsid w:val="6E8577EF"/>
    <w:rsid w:val="6EFC6F90"/>
    <w:rsid w:val="6F7F576D"/>
    <w:rsid w:val="6FFD3603"/>
    <w:rsid w:val="70B3417F"/>
    <w:rsid w:val="71044AAD"/>
    <w:rsid w:val="71C61BB7"/>
    <w:rsid w:val="71F25086"/>
    <w:rsid w:val="7298684C"/>
    <w:rsid w:val="73917311"/>
    <w:rsid w:val="748D3600"/>
    <w:rsid w:val="74F4564D"/>
    <w:rsid w:val="75D1551E"/>
    <w:rsid w:val="76675694"/>
    <w:rsid w:val="77D56B93"/>
    <w:rsid w:val="77E904D8"/>
    <w:rsid w:val="77F7F08C"/>
    <w:rsid w:val="79FC27AE"/>
    <w:rsid w:val="7AA77778"/>
    <w:rsid w:val="7BE562F0"/>
    <w:rsid w:val="7BF025DA"/>
    <w:rsid w:val="7C171F28"/>
    <w:rsid w:val="7C1752E2"/>
    <w:rsid w:val="7C271130"/>
    <w:rsid w:val="7CFF1588"/>
    <w:rsid w:val="7DED3ACD"/>
    <w:rsid w:val="7E724FEE"/>
    <w:rsid w:val="7FF9564B"/>
    <w:rsid w:val="8FDF3915"/>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2025-04-02T02:28:00Z</dcterms:created>
  <dc:creator>user</dc:creator>
  <cp:lastModifiedBy>user</cp:lastModifiedBy>
  <dcterms:modified xsi:type="dcterms:W3CDTF">2025-06-05T05:48:09Z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619BE83B2B22E4969FF03F68498F1CCD</vt:lpwstr>
  </property>
</Properties>
</file>