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8"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spacing w:line="480" w:lineRule="exact"/>
        <w:ind w:right="-88" w:rightChars="-42"/>
        <w:jc w:val="center"/>
        <w:rPr>
          <w:rFonts w:ascii="宋体"/>
          <w:b/>
          <w:sz w:val="32"/>
        </w:rPr>
      </w:pPr>
      <w:r>
        <w:rPr>
          <w:rFonts w:hint="eastAsia" w:ascii="宋体" w:hAnsi="宋体"/>
          <w:b/>
          <w:sz w:val="32"/>
        </w:rPr>
        <w:t>第37期</w:t>
      </w:r>
    </w:p>
    <w:p>
      <w:pPr>
        <w:spacing w:line="480" w:lineRule="exact"/>
        <w:ind w:right="-88" w:rightChars="-42"/>
        <w:jc w:val="center"/>
        <w:rPr>
          <w:rFonts w:ascii="宋体"/>
          <w:b/>
          <w:sz w:val="32"/>
        </w:rPr>
      </w:pPr>
    </w:p>
    <w:p>
      <w:pPr>
        <w:spacing w:line="360" w:lineRule="exact"/>
        <w:ind w:right="-88" w:rightChars="-42"/>
        <w:rPr>
          <w:rFonts w:ascii="楷体_GB2312" w:hAnsi="宋体" w:eastAsia="楷体_GB2312"/>
          <w:b/>
          <w:spacing w:val="-14"/>
          <w:sz w:val="32"/>
        </w:rPr>
      </w:pPr>
      <w:r>
        <w:rPr>
          <w:rFonts w:hint="eastAsia" w:ascii="楷体_GB2312" w:hAnsi="宋体" w:eastAsia="楷体_GB2312"/>
          <w:spacing w:val="-14"/>
          <w:sz w:val="28"/>
        </w:rPr>
        <w:t>中共上海市国有资产监督管理委员会委员会办公室</w:t>
      </w:r>
    </w:p>
    <w:p>
      <w:pPr>
        <w:spacing w:line="360" w:lineRule="exact"/>
        <w:ind w:right="-88" w:rightChars="-42"/>
        <w:rPr>
          <w:rFonts w:ascii="楷体_GB2312" w:hAnsi="宋体" w:eastAsia="楷体_GB2312"/>
          <w:spacing w:val="-14"/>
          <w:sz w:val="28"/>
          <w:u w:val="single" w:color="FF0000"/>
        </w:rPr>
      </w:pPr>
      <w:r>
        <w:rPr>
          <w:rFonts w:hint="eastAsia" w:ascii="楷体_GB2312" w:hAnsi="宋体" w:eastAsia="楷体_GB2312"/>
          <w:spacing w:val="-22"/>
          <w:sz w:val="28"/>
          <w:u w:val="single" w:color="FF0000"/>
        </w:rPr>
        <w:t xml:space="preserve">上 海 市 国 有 资 产 监 督 管 理 委 员 会 办 公 室       </w:t>
      </w:r>
      <w:r>
        <w:rPr>
          <w:rFonts w:ascii="楷体_GB2312" w:hAnsi="宋体" w:eastAsia="楷体_GB2312"/>
          <w:spacing w:val="-14"/>
          <w:sz w:val="28"/>
          <w:u w:val="single" w:color="FF0000"/>
        </w:rPr>
        <w:t>2019</w:t>
      </w:r>
      <w:r>
        <w:rPr>
          <w:rFonts w:hint="eastAsia" w:ascii="楷体_GB2312" w:hAnsi="宋体" w:eastAsia="楷体_GB2312"/>
          <w:spacing w:val="-14"/>
          <w:sz w:val="28"/>
          <w:u w:val="single" w:color="FF0000"/>
        </w:rPr>
        <w:t>年11月2</w:t>
      </w:r>
      <w:r>
        <w:rPr>
          <w:rFonts w:hint="eastAsia" w:ascii="楷体_GB2312" w:hAnsi="宋体" w:eastAsia="楷体_GB2312"/>
          <w:spacing w:val="-14"/>
          <w:sz w:val="28"/>
          <w:u w:val="single" w:color="FF0000"/>
          <w:lang w:val="en-US" w:eastAsia="zh-CN"/>
        </w:rPr>
        <w:t>7</w:t>
      </w:r>
      <w:r>
        <w:rPr>
          <w:rFonts w:hint="eastAsia" w:ascii="楷体_GB2312" w:hAnsi="宋体" w:eastAsia="楷体_GB2312"/>
          <w:spacing w:val="-14"/>
          <w:sz w:val="28"/>
          <w:u w:val="single" w:color="FF0000"/>
        </w:rPr>
        <w:t>日</w:t>
      </w:r>
    </w:p>
    <w:p>
      <w:pPr>
        <w:spacing w:line="360" w:lineRule="exact"/>
        <w:ind w:right="-88" w:rightChars="-42"/>
        <w:rPr>
          <w:rFonts w:ascii="楷体_GB2312" w:hAnsi="宋体" w:eastAsia="楷体_GB2312"/>
          <w:spacing w:val="-14"/>
          <w:sz w:val="28"/>
          <w:u w:val="single" w:color="FF0000"/>
        </w:rPr>
      </w:pPr>
    </w:p>
    <w:p>
      <w:pPr>
        <w:numPr>
          <w:ilvl w:val="0"/>
          <w:numId w:val="1"/>
        </w:numPr>
        <w:spacing w:afterLines="50" w:line="440" w:lineRule="exact"/>
        <w:ind w:right="-88" w:rightChars="-42"/>
        <w:rPr>
          <w:rFonts w:ascii="华文中宋" w:hAnsi="华文中宋" w:eastAsia="华文中宋" w:cs="仿宋_GB2312"/>
          <w:b/>
          <w:sz w:val="28"/>
          <w:szCs w:val="28"/>
        </w:rPr>
      </w:pPr>
      <w:r>
        <w:rPr>
          <w:rFonts w:hint="eastAsia" w:ascii="楷体_GB2312" w:eastAsia="楷体_GB2312"/>
          <w:b/>
          <w:sz w:val="32"/>
          <w:szCs w:val="32"/>
        </w:rPr>
        <w:t>金融工作</w:t>
      </w: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专为“三农”客群服务 上海农商银行推出“鑫合农卡”</w:t>
      </w:r>
    </w:p>
    <w:p>
      <w:pPr>
        <w:snapToGrid w:val="0"/>
        <w:spacing w:line="440" w:lineRule="exact"/>
        <w:jc w:val="center"/>
        <w:rPr>
          <w:rFonts w:ascii="华文中宋" w:hAnsi="华文中宋" w:eastAsia="华文中宋" w:cs="仿宋_GB2312"/>
          <w:b/>
          <w:sz w:val="28"/>
          <w:szCs w:val="28"/>
        </w:rPr>
      </w:pPr>
    </w:p>
    <w:p>
      <w:pPr>
        <w:snapToGrid w:val="0"/>
        <w:spacing w:line="520" w:lineRule="exact"/>
        <w:ind w:firstLine="560" w:firstLineChars="200"/>
        <w:rPr>
          <w:rFonts w:ascii="仿宋_GB2312" w:hAnsi="MS Mincho" w:eastAsia="仿宋_GB2312" w:cs="MS Mincho"/>
          <w:sz w:val="28"/>
          <w:szCs w:val="28"/>
        </w:rPr>
      </w:pPr>
      <w:r>
        <w:rPr>
          <w:rFonts w:hint="eastAsia" w:ascii="仿宋_GB2312" w:hAnsi="MS Mincho" w:eastAsia="仿宋_GB2312" w:cs="MS Mincho"/>
          <w:sz w:val="28"/>
          <w:szCs w:val="28"/>
        </w:rPr>
        <w:t>日前，上海农商银行推出为“三农”客群定制的信用卡——鑫合农卡,最高授信额度100万元。</w:t>
      </w:r>
    </w:p>
    <w:p>
      <w:pPr>
        <w:snapToGrid w:val="0"/>
        <w:spacing w:line="520" w:lineRule="exact"/>
        <w:ind w:firstLine="560" w:firstLineChars="200"/>
        <w:rPr>
          <w:rFonts w:ascii="仿宋_GB2312" w:hAnsi="MS Mincho" w:eastAsia="仿宋_GB2312" w:cs="MS Mincho"/>
          <w:sz w:val="28"/>
          <w:szCs w:val="28"/>
        </w:rPr>
      </w:pPr>
      <w:r>
        <w:rPr>
          <w:rFonts w:hint="eastAsia" w:ascii="仿宋_GB2312" w:hAnsi="MS Mincho" w:eastAsia="仿宋_GB2312" w:cs="MS Mincho"/>
          <w:sz w:val="28"/>
          <w:szCs w:val="28"/>
        </w:rPr>
        <w:t>该卡是上海农商银行专为国家级、市级、区级涉农龙头企业，以及各类农民专业合作社等涉农经营机构特定人员设计开发的银联标准信用卡，以支农惠农为特色，对符合条件的申领人提供最高100万元的授信额度，倾力支持本地“三农”建设。同时，该卡还充分结合了涉农生产经营周期期限长、不固定等特点，提供分期还款服务，并实行优惠费率，期限最长可达36期，基本覆盖涉农生产的经营周期，有效满足涉农经营的资金需求。                  （上海农商银行）</w:t>
      </w:r>
    </w:p>
    <w:p>
      <w:pPr>
        <w:snapToGrid w:val="0"/>
        <w:spacing w:line="520" w:lineRule="exact"/>
        <w:ind w:firstLine="560" w:firstLineChars="200"/>
        <w:rPr>
          <w:rFonts w:ascii="仿宋_GB2312" w:hAnsi="MS Mincho" w:eastAsia="仿宋_GB2312" w:cs="MS Mincho"/>
          <w:sz w:val="28"/>
          <w:szCs w:val="28"/>
        </w:rPr>
      </w:pP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海富通上证5年期地方债ETF首募规模再创新高</w:t>
      </w:r>
    </w:p>
    <w:p>
      <w:pPr>
        <w:snapToGrid w:val="0"/>
        <w:spacing w:line="440" w:lineRule="exact"/>
        <w:jc w:val="center"/>
        <w:rPr>
          <w:rFonts w:ascii="华文中宋" w:hAnsi="华文中宋" w:eastAsia="华文中宋" w:cs="仿宋_GB2312"/>
          <w:b/>
          <w:sz w:val="28"/>
          <w:szCs w:val="28"/>
        </w:rPr>
      </w:pPr>
    </w:p>
    <w:p>
      <w:pPr>
        <w:snapToGrid w:val="0"/>
        <w:spacing w:line="520" w:lineRule="exact"/>
        <w:ind w:firstLine="560" w:firstLineChars="200"/>
        <w:rPr>
          <w:rFonts w:ascii="仿宋_GB2312" w:hAnsi="MS Mincho" w:eastAsia="仿宋_GB2312" w:cs="MS Mincho"/>
          <w:sz w:val="28"/>
          <w:szCs w:val="28"/>
        </w:rPr>
      </w:pPr>
      <w:r>
        <w:rPr>
          <w:rFonts w:hint="eastAsia" w:ascii="仿宋_GB2312" w:hAnsi="MS Mincho" w:eastAsia="仿宋_GB2312" w:cs="MS Mincho"/>
          <w:sz w:val="28"/>
          <w:szCs w:val="28"/>
        </w:rPr>
        <w:t>日前，海富通上证5年期地方政府债ETF发布成立公告，基金首募规模达到了109.78亿元，再次刷新债券ETF领域的新发纪录。</w:t>
      </w:r>
    </w:p>
    <w:p>
      <w:pPr>
        <w:snapToGrid w:val="0"/>
        <w:spacing w:line="520" w:lineRule="exact"/>
        <w:ind w:firstLine="560" w:firstLineChars="200"/>
        <w:rPr>
          <w:rFonts w:ascii="仿宋_GB2312" w:hAnsi="MS Mincho" w:eastAsia="仿宋_GB2312" w:cs="MS Mincho"/>
          <w:sz w:val="28"/>
          <w:szCs w:val="28"/>
        </w:rPr>
      </w:pPr>
      <w:r>
        <w:rPr>
          <w:rFonts w:hint="eastAsia" w:ascii="仿宋_GB2312" w:hAnsi="MS Mincho" w:eastAsia="仿宋_GB2312" w:cs="MS Mincho"/>
          <w:sz w:val="28"/>
          <w:szCs w:val="28"/>
        </w:rPr>
        <w:t>去年，海富通基金发行了首只地方债ETF——海富通上证10年期地方债ETF，首募规模逾60亿元。Wind数据显示，截至今年10月底，该产品已稳健运作一年，引入十一家做市商，并获准纳入中登质押库，产品累计收益达7.08%，场内累计成交额突破31亿元，基本实现了机构投资者、基金公司、做市商的多方共赢。在此基础上，今年海富通基金又发行了旗下第二只地方债ETF基金，首募规模逾109亿元，刷新债券ETF的新发记录。这只基金也是海富通近15年来首个新发规模破百亿的非货币公募基金。              （海通证券）</w:t>
      </w:r>
    </w:p>
    <w:p>
      <w:pPr>
        <w:snapToGrid w:val="0"/>
        <w:spacing w:line="440" w:lineRule="exact"/>
        <w:jc w:val="center"/>
        <w:rPr>
          <w:rFonts w:ascii="华文中宋" w:hAnsi="华文中宋" w:eastAsia="华文中宋" w:cs="仿宋_GB2312"/>
          <w:b/>
          <w:sz w:val="28"/>
          <w:szCs w:val="28"/>
        </w:rPr>
      </w:pP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农业农村部与中国太保在京签署保险服务乡村振兴战略合作协议</w:t>
      </w:r>
    </w:p>
    <w:p>
      <w:pPr>
        <w:snapToGrid w:val="0"/>
        <w:spacing w:line="440" w:lineRule="exact"/>
        <w:jc w:val="center"/>
        <w:rPr>
          <w:rFonts w:ascii="华文中宋" w:hAnsi="华文中宋" w:eastAsia="华文中宋" w:cs="仿宋_GB2312"/>
          <w:b/>
          <w:sz w:val="28"/>
          <w:szCs w:val="28"/>
        </w:rPr>
      </w:pPr>
    </w:p>
    <w:p>
      <w:pPr>
        <w:snapToGrid w:val="0"/>
        <w:spacing w:line="520" w:lineRule="exact"/>
        <w:ind w:firstLine="560" w:firstLineChars="200"/>
        <w:rPr>
          <w:rFonts w:ascii="仿宋_GB2312" w:hAnsi="MS Mincho" w:eastAsia="仿宋_GB2312" w:cs="MS Mincho"/>
          <w:sz w:val="28"/>
          <w:szCs w:val="28"/>
        </w:rPr>
      </w:pPr>
      <w:r>
        <w:rPr>
          <w:rFonts w:hint="eastAsia" w:ascii="仿宋_GB2312" w:hAnsi="MS Mincho" w:eastAsia="仿宋_GB2312" w:cs="MS Mincho"/>
          <w:sz w:val="28"/>
          <w:szCs w:val="28"/>
        </w:rPr>
        <w:t>日前，农业农村部与中国太平洋保险集团在京签署战略合作协议，双方将围绕乡村振兴主导产业和重点领域，聚焦各类农业经营主体风险保障需求，在推进农业保险扩面增品提标、深化金融科技创新应用、探索综合金融服务模式、推广保险精准扶贫典型等方面开展深入合作。</w:t>
      </w:r>
    </w:p>
    <w:p>
      <w:pPr>
        <w:snapToGrid w:val="0"/>
        <w:spacing w:line="520" w:lineRule="exact"/>
        <w:ind w:firstLine="560" w:firstLineChars="200"/>
        <w:rPr>
          <w:rFonts w:ascii="仿宋_GB2312" w:hAnsi="MS Mincho" w:eastAsia="仿宋_GB2312" w:cs="MS Mincho"/>
          <w:sz w:val="28"/>
          <w:szCs w:val="28"/>
        </w:rPr>
      </w:pPr>
      <w:r>
        <w:rPr>
          <w:rFonts w:hint="eastAsia" w:ascii="仿宋_GB2312" w:hAnsi="MS Mincho" w:eastAsia="仿宋_GB2312" w:cs="MS Mincho"/>
          <w:sz w:val="28"/>
          <w:szCs w:val="28"/>
        </w:rPr>
        <w:t>实施乡村振兴战略，释放出农业农村对金融保险的巨大需求，也是金融保险发展的新热点和增长点。太保集团将以战略合作协议的签署为新起点，坚定服务国家战略方向，发挥保险主业优势和集团协同优势，持续深化改革，推进产品创新、技术创新、理念创新、模式创新，助力农业农村现代化建设，助推乡村振兴战略实施。（中国太保）</w:t>
      </w:r>
    </w:p>
    <w:p>
      <w:pPr>
        <w:snapToGrid w:val="0"/>
        <w:spacing w:line="520" w:lineRule="exact"/>
        <w:ind w:firstLine="560" w:firstLineChars="200"/>
        <w:rPr>
          <w:rFonts w:ascii="仿宋_GB2312" w:hAnsi="MS Mincho" w:eastAsia="仿宋_GB2312" w:cs="MS Mincho"/>
          <w:sz w:val="28"/>
          <w:szCs w:val="28"/>
        </w:rPr>
      </w:pPr>
    </w:p>
    <w:p>
      <w:pPr>
        <w:numPr>
          <w:ilvl w:val="0"/>
          <w:numId w:val="1"/>
        </w:numPr>
        <w:spacing w:afterLines="50" w:line="480" w:lineRule="exact"/>
        <w:ind w:right="-88" w:rightChars="-42"/>
        <w:rPr>
          <w:rFonts w:ascii="楷体_GB2312" w:eastAsia="楷体_GB2312"/>
          <w:b/>
          <w:sz w:val="32"/>
          <w:szCs w:val="32"/>
        </w:rPr>
      </w:pPr>
      <w:r>
        <w:rPr>
          <w:rFonts w:hint="eastAsia" w:ascii="楷体_GB2312" w:eastAsia="楷体_GB2312"/>
          <w:b/>
          <w:sz w:val="32"/>
          <w:szCs w:val="32"/>
        </w:rPr>
        <w:t>经济工作</w:t>
      </w: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上海电气总包孟加拉国最大单体燃机电站</w:t>
      </w:r>
    </w:p>
    <w:p>
      <w:pPr>
        <w:snapToGrid w:val="0"/>
        <w:spacing w:line="440" w:lineRule="exact"/>
        <w:jc w:val="center"/>
        <w:rPr>
          <w:rFonts w:ascii="华文中宋" w:hAnsi="华文中宋" w:eastAsia="华文中宋" w:cs="仿宋_GB2312"/>
          <w:b/>
          <w:sz w:val="28"/>
          <w:szCs w:val="28"/>
        </w:rPr>
      </w:pPr>
    </w:p>
    <w:p>
      <w:pPr>
        <w:snapToGrid w:val="0"/>
        <w:spacing w:line="520" w:lineRule="exact"/>
        <w:ind w:firstLine="560" w:firstLineChars="200"/>
        <w:rPr>
          <w:rFonts w:ascii="仿宋_GB2312" w:hAnsi="MS Mincho" w:eastAsia="仿宋_GB2312" w:cs="MS Mincho"/>
          <w:sz w:val="28"/>
          <w:szCs w:val="28"/>
        </w:rPr>
      </w:pPr>
      <w:r>
        <w:rPr>
          <w:rFonts w:hint="eastAsia" w:ascii="仿宋_GB2312" w:hAnsi="MS Mincho" w:eastAsia="仿宋_GB2312" w:cs="MS Mincho"/>
          <w:sz w:val="28"/>
          <w:szCs w:val="28"/>
        </w:rPr>
        <w:t>近日，上海电气成功中标鲁普萨800MW燃机联合循环电站项目。该项目位于孟加拉国库尔纳地区，是孟加拉国内最大的单体燃机电站，由2套一拖一F级联合循环机组组成。项目建成后，将大幅度改善孟加拉国当地能源安全性，充分提升高效和清洁能源利用率，助推当地经济发展。</w:t>
      </w:r>
    </w:p>
    <w:p>
      <w:pPr>
        <w:snapToGrid w:val="0"/>
        <w:spacing w:line="520" w:lineRule="exact"/>
        <w:ind w:firstLine="560" w:firstLineChars="200"/>
        <w:rPr>
          <w:rFonts w:ascii="仿宋_GB2312" w:hAnsi="MS Mincho" w:eastAsia="仿宋_GB2312" w:cs="MS Mincho"/>
          <w:sz w:val="28"/>
          <w:szCs w:val="28"/>
        </w:rPr>
      </w:pPr>
      <w:r>
        <w:rPr>
          <w:rFonts w:hint="eastAsia" w:ascii="仿宋_GB2312" w:hAnsi="MS Mincho" w:eastAsia="仿宋_GB2312" w:cs="MS Mincho"/>
          <w:sz w:val="28"/>
          <w:szCs w:val="28"/>
        </w:rPr>
        <w:t>据悉，鲁普萨项目邻近上海电气此前执行的库尔纳燃机扩建项目，业主同为西北发电有限公司。近些年来，双方在能源领域一直保持着良好的合作关系。未来，双方将以本项目为基础，继续推动在当地能源领域的合作共赢。                          （上海电气）</w:t>
      </w:r>
    </w:p>
    <w:p>
      <w:pPr>
        <w:snapToGrid w:val="0"/>
        <w:spacing w:line="440" w:lineRule="exact"/>
        <w:jc w:val="center"/>
        <w:rPr>
          <w:rFonts w:ascii="华文中宋" w:hAnsi="华文中宋" w:eastAsia="华文中宋" w:cs="仿宋_GB2312"/>
          <w:b/>
          <w:sz w:val="28"/>
          <w:szCs w:val="28"/>
        </w:rPr>
      </w:pP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申能集团洋山</w:t>
      </w:r>
      <w:r>
        <w:rPr>
          <w:rFonts w:ascii="华文中宋" w:hAnsi="华文中宋" w:eastAsia="华文中宋" w:cs="仿宋_GB2312"/>
          <w:b/>
          <w:sz w:val="28"/>
          <w:szCs w:val="28"/>
        </w:rPr>
        <w:t>LNG接收站气化外输能力翻番</w:t>
      </w:r>
    </w:p>
    <w:p>
      <w:pPr>
        <w:snapToGrid w:val="0"/>
        <w:spacing w:line="440" w:lineRule="exact"/>
        <w:jc w:val="center"/>
        <w:rPr>
          <w:rFonts w:ascii="华文中宋" w:hAnsi="华文中宋" w:eastAsia="华文中宋" w:cs="仿宋_GB2312"/>
          <w:b/>
          <w:sz w:val="28"/>
          <w:szCs w:val="28"/>
        </w:rPr>
      </w:pPr>
      <w:r>
        <w:rPr>
          <w:rFonts w:ascii="华文中宋" w:hAnsi="华文中宋" w:eastAsia="华文中宋" w:cs="仿宋_GB2312"/>
          <w:b/>
          <w:sz w:val="28"/>
          <w:szCs w:val="28"/>
        </w:rPr>
        <w:t>上海今冬用气再添有力保障</w:t>
      </w:r>
    </w:p>
    <w:p>
      <w:pPr>
        <w:snapToGrid w:val="0"/>
        <w:spacing w:line="440" w:lineRule="exact"/>
        <w:jc w:val="center"/>
        <w:rPr>
          <w:rFonts w:ascii="华文中宋" w:hAnsi="华文中宋" w:eastAsia="华文中宋" w:cs="仿宋_GB2312"/>
          <w:b/>
          <w:sz w:val="28"/>
          <w:szCs w:val="28"/>
        </w:rPr>
      </w:pPr>
    </w:p>
    <w:p>
      <w:pPr>
        <w:snapToGrid w:val="0"/>
        <w:spacing w:line="520" w:lineRule="exact"/>
        <w:ind w:firstLine="560" w:firstLineChars="200"/>
        <w:rPr>
          <w:rFonts w:ascii="仿宋_GB2312" w:hAnsi="MS Mincho" w:eastAsia="仿宋_GB2312" w:cs="MS Mincho"/>
          <w:sz w:val="28"/>
          <w:szCs w:val="28"/>
        </w:rPr>
      </w:pPr>
      <w:r>
        <w:rPr>
          <w:rFonts w:hint="eastAsia" w:ascii="仿宋_GB2312" w:hAnsi="MS Mincho" w:eastAsia="仿宋_GB2312" w:cs="MS Mincho"/>
          <w:sz w:val="28"/>
          <w:szCs w:val="28"/>
        </w:rPr>
        <w:t>近日，洋山</w:t>
      </w:r>
      <w:r>
        <w:rPr>
          <w:rFonts w:ascii="仿宋_GB2312" w:hAnsi="MS Mincho" w:eastAsia="仿宋_GB2312" w:cs="MS Mincho"/>
          <w:sz w:val="28"/>
          <w:szCs w:val="28"/>
        </w:rPr>
        <w:t>LNG</w:t>
      </w:r>
      <w:r>
        <w:rPr>
          <w:rFonts w:hint="eastAsia" w:ascii="仿宋_GB2312" w:hAnsi="MS Mincho" w:eastAsia="仿宋_GB2312" w:cs="MS Mincho"/>
          <w:sz w:val="28"/>
          <w:szCs w:val="28"/>
        </w:rPr>
        <w:t>接收站新增气化设施正式投运。接收站最大小时气化外输能力将由</w:t>
      </w:r>
      <w:r>
        <w:rPr>
          <w:rFonts w:ascii="仿宋_GB2312" w:hAnsi="MS Mincho" w:eastAsia="仿宋_GB2312" w:cs="MS Mincho"/>
          <w:sz w:val="28"/>
          <w:szCs w:val="28"/>
        </w:rPr>
        <w:t>104万增至214万立方米。作为</w:t>
      </w:r>
      <w:r>
        <w:rPr>
          <w:rFonts w:hint="eastAsia" w:ascii="仿宋_GB2312" w:hAnsi="MS Mincho" w:eastAsia="仿宋_GB2312" w:cs="MS Mincho"/>
          <w:sz w:val="28"/>
          <w:szCs w:val="28"/>
        </w:rPr>
        <w:t>冬季</w:t>
      </w:r>
      <w:r>
        <w:rPr>
          <w:rFonts w:ascii="仿宋_GB2312" w:hAnsi="MS Mincho" w:eastAsia="仿宋_GB2312" w:cs="MS Mincho"/>
          <w:sz w:val="28"/>
          <w:szCs w:val="28"/>
        </w:rPr>
        <w:t>供应上海市65%天然气的主力</w:t>
      </w:r>
      <w:r>
        <w:rPr>
          <w:rFonts w:hint="eastAsia" w:ascii="仿宋_GB2312" w:hAnsi="MS Mincho" w:eastAsia="仿宋_GB2312" w:cs="MS Mincho"/>
          <w:sz w:val="28"/>
          <w:szCs w:val="28"/>
        </w:rPr>
        <w:t>气源</w:t>
      </w:r>
      <w:r>
        <w:rPr>
          <w:rFonts w:ascii="仿宋_GB2312" w:hAnsi="MS Mincho" w:eastAsia="仿宋_GB2312" w:cs="MS Mincho"/>
          <w:sz w:val="28"/>
          <w:szCs w:val="28"/>
        </w:rPr>
        <w:t>，</w:t>
      </w:r>
      <w:r>
        <w:rPr>
          <w:rFonts w:hint="eastAsia" w:ascii="仿宋_GB2312" w:hAnsi="MS Mincho" w:eastAsia="仿宋_GB2312" w:cs="MS Mincho"/>
          <w:sz w:val="28"/>
          <w:szCs w:val="28"/>
        </w:rPr>
        <w:t>洋山L</w:t>
      </w:r>
      <w:r>
        <w:rPr>
          <w:rFonts w:ascii="仿宋_GB2312" w:hAnsi="MS Mincho" w:eastAsia="仿宋_GB2312" w:cs="MS Mincho"/>
          <w:sz w:val="28"/>
          <w:szCs w:val="28"/>
        </w:rPr>
        <w:t>NG</w:t>
      </w:r>
      <w:r>
        <w:rPr>
          <w:rFonts w:hint="eastAsia" w:ascii="仿宋_GB2312" w:hAnsi="MS Mincho" w:eastAsia="仿宋_GB2312" w:cs="MS Mincho"/>
          <w:sz w:val="28"/>
          <w:szCs w:val="28"/>
        </w:rPr>
        <w:t>接收站气化外输能力的翻番将为上海居民今冬安全用气再添有力保障。</w:t>
      </w:r>
    </w:p>
    <w:p>
      <w:pPr>
        <w:snapToGrid w:val="0"/>
        <w:spacing w:line="520" w:lineRule="exact"/>
        <w:ind w:firstLine="560" w:firstLineChars="200"/>
        <w:rPr>
          <w:rFonts w:ascii="仿宋_GB2312" w:hAnsi="MS Mincho" w:eastAsia="仿宋_GB2312" w:cs="MS Mincho"/>
          <w:sz w:val="28"/>
          <w:szCs w:val="28"/>
        </w:rPr>
      </w:pPr>
      <w:r>
        <w:rPr>
          <w:rFonts w:hint="eastAsia" w:ascii="仿宋_GB2312" w:hAnsi="MS Mincho" w:eastAsia="仿宋_GB2312" w:cs="MS Mincho"/>
          <w:sz w:val="28"/>
          <w:szCs w:val="28"/>
        </w:rPr>
        <w:t>据预测，今年冬季用气高峰期间，上海最大单日用气量将达到</w:t>
      </w:r>
      <w:r>
        <w:rPr>
          <w:rFonts w:ascii="仿宋_GB2312" w:hAnsi="MS Mincho" w:eastAsia="仿宋_GB2312" w:cs="MS Mincho"/>
          <w:sz w:val="28"/>
          <w:szCs w:val="28"/>
        </w:rPr>
        <w:t>4900万立方米，较去年同期4180立方米增长17%</w:t>
      </w:r>
      <w:r>
        <w:rPr>
          <w:rFonts w:hint="eastAsia" w:ascii="仿宋_GB2312" w:hAnsi="MS Mincho" w:eastAsia="仿宋_GB2312" w:cs="MS Mincho"/>
          <w:sz w:val="28"/>
          <w:szCs w:val="28"/>
        </w:rPr>
        <w:t>。目前，</w:t>
      </w:r>
      <w:r>
        <w:rPr>
          <w:rFonts w:ascii="仿宋_GB2312" w:hAnsi="MS Mincho" w:eastAsia="仿宋_GB2312" w:cs="MS Mincho"/>
          <w:sz w:val="28"/>
          <w:szCs w:val="28"/>
        </w:rPr>
        <w:t>上海天然气最大日供应</w:t>
      </w:r>
      <w:r>
        <w:rPr>
          <w:rFonts w:hint="eastAsia" w:ascii="仿宋_GB2312" w:hAnsi="MS Mincho" w:eastAsia="仿宋_GB2312" w:cs="MS Mincho"/>
          <w:sz w:val="28"/>
          <w:szCs w:val="28"/>
        </w:rPr>
        <w:t>能力约为</w:t>
      </w:r>
      <w:r>
        <w:rPr>
          <w:rFonts w:ascii="仿宋_GB2312" w:hAnsi="MS Mincho" w:eastAsia="仿宋_GB2312" w:cs="MS Mincho"/>
          <w:sz w:val="28"/>
          <w:szCs w:val="28"/>
        </w:rPr>
        <w:t>4000万立方米，较今年的最大单日需求间存在近1000万方的缺口，而西气东输等管道气</w:t>
      </w:r>
      <w:r>
        <w:rPr>
          <w:rFonts w:hint="eastAsia" w:ascii="仿宋_GB2312" w:hAnsi="MS Mincho" w:eastAsia="仿宋_GB2312" w:cs="MS Mincho"/>
          <w:sz w:val="28"/>
          <w:szCs w:val="28"/>
        </w:rPr>
        <w:t>提高供应量有一定难度</w:t>
      </w:r>
      <w:r>
        <w:rPr>
          <w:rFonts w:ascii="仿宋_GB2312" w:hAnsi="MS Mincho" w:eastAsia="仿宋_GB2312" w:cs="MS Mincho"/>
          <w:sz w:val="28"/>
          <w:szCs w:val="28"/>
        </w:rPr>
        <w:t>，这个缺口将主要依靠上海LNG的新增气化设施来补足。</w:t>
      </w:r>
      <w:r>
        <w:rPr>
          <w:rFonts w:hint="eastAsia" w:ascii="仿宋_GB2312" w:hAnsi="MS Mincho" w:eastAsia="仿宋_GB2312" w:cs="MS Mincho"/>
          <w:sz w:val="28"/>
          <w:szCs w:val="28"/>
        </w:rPr>
        <w:t>申能</w:t>
      </w:r>
      <w:r>
        <w:rPr>
          <w:rFonts w:ascii="仿宋_GB2312" w:hAnsi="MS Mincho" w:eastAsia="仿宋_GB2312" w:cs="MS Mincho"/>
          <w:sz w:val="28"/>
          <w:szCs w:val="28"/>
        </w:rPr>
        <w:t>集团上海</w:t>
      </w:r>
      <w:r>
        <w:rPr>
          <w:rFonts w:hint="eastAsia" w:ascii="仿宋_GB2312" w:hAnsi="MS Mincho" w:eastAsia="仿宋_GB2312" w:cs="MS Mincho"/>
          <w:sz w:val="28"/>
          <w:szCs w:val="28"/>
        </w:rPr>
        <w:t>LNG公司历时2年</w:t>
      </w:r>
      <w:r>
        <w:rPr>
          <w:rFonts w:ascii="仿宋_GB2312" w:hAnsi="MS Mincho" w:eastAsia="仿宋_GB2312" w:cs="MS Mincho"/>
          <w:sz w:val="28"/>
          <w:szCs w:val="28"/>
        </w:rPr>
        <w:t>建设新增气化设施</w:t>
      </w:r>
      <w:r>
        <w:rPr>
          <w:rFonts w:hint="eastAsia" w:ascii="仿宋_GB2312" w:hAnsi="MS Mincho" w:eastAsia="仿宋_GB2312" w:cs="MS Mincho"/>
          <w:sz w:val="28"/>
          <w:szCs w:val="28"/>
        </w:rPr>
        <w:t>，将使</w:t>
      </w:r>
      <w:r>
        <w:rPr>
          <w:rFonts w:ascii="仿宋_GB2312" w:hAnsi="MS Mincho" w:eastAsia="仿宋_GB2312" w:cs="MS Mincho"/>
          <w:sz w:val="28"/>
          <w:szCs w:val="28"/>
        </w:rPr>
        <w:t>洋山LNG接收站每天最大的外输天然气能力将达到5000万方以上</w:t>
      </w:r>
      <w:r>
        <w:rPr>
          <w:rFonts w:hint="eastAsia" w:ascii="仿宋_GB2312" w:hAnsi="MS Mincho" w:eastAsia="仿宋_GB2312" w:cs="MS Mincho"/>
          <w:sz w:val="28"/>
          <w:szCs w:val="28"/>
        </w:rPr>
        <w:t>，有效弥补了今冬天然气调峰缺口。                                         （申能集团）</w:t>
      </w:r>
    </w:p>
    <w:p>
      <w:pPr>
        <w:snapToGrid w:val="0"/>
        <w:spacing w:line="440" w:lineRule="exact"/>
        <w:jc w:val="center"/>
        <w:rPr>
          <w:rFonts w:ascii="华文中宋" w:hAnsi="华文中宋" w:eastAsia="华文中宋" w:cs="仿宋_GB2312"/>
          <w:b/>
          <w:sz w:val="28"/>
          <w:szCs w:val="28"/>
        </w:rPr>
      </w:pP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上海建工完成“浙江最深基坑”筑底</w:t>
      </w:r>
    </w:p>
    <w:p>
      <w:pPr>
        <w:snapToGrid w:val="0"/>
        <w:spacing w:line="440" w:lineRule="exact"/>
        <w:jc w:val="center"/>
        <w:rPr>
          <w:rFonts w:ascii="华文中宋" w:hAnsi="华文中宋" w:eastAsia="华文中宋" w:cs="仿宋_GB2312"/>
          <w:b/>
          <w:sz w:val="28"/>
          <w:szCs w:val="28"/>
        </w:rPr>
      </w:pPr>
    </w:p>
    <w:p>
      <w:pPr>
        <w:snapToGrid w:val="0"/>
        <w:spacing w:line="520" w:lineRule="exact"/>
        <w:ind w:firstLine="560" w:firstLineChars="200"/>
        <w:rPr>
          <w:rFonts w:ascii="仿宋_GB2312" w:hAnsi="MS Mincho" w:eastAsia="仿宋_GB2312" w:cs="MS Mincho"/>
          <w:sz w:val="28"/>
          <w:szCs w:val="28"/>
        </w:rPr>
      </w:pPr>
      <w:r>
        <w:rPr>
          <w:rFonts w:hint="eastAsia" w:ascii="仿宋_GB2312" w:hAnsi="MS Mincho" w:eastAsia="仿宋_GB2312" w:cs="MS Mincho"/>
          <w:sz w:val="28"/>
          <w:szCs w:val="28"/>
        </w:rPr>
        <w:t>日前，由上海建工一建集团施工，拥有 “浙江最深基坑”的杭州中心项目B2区成功筑底。此</w:t>
      </w:r>
      <w:r>
        <w:rPr>
          <w:rFonts w:ascii="仿宋_GB2312" w:hAnsi="MS Mincho" w:eastAsia="仿宋_GB2312" w:cs="MS Mincho"/>
          <w:sz w:val="28"/>
          <w:szCs w:val="28"/>
        </w:rPr>
        <w:t>项目共有6层地下室，分5个区域施工，其中B2区最深达34.5米。</w:t>
      </w:r>
      <w:r>
        <w:rPr>
          <w:rFonts w:hint="eastAsia" w:ascii="仿宋_GB2312" w:hAnsi="MS Mincho" w:eastAsia="仿宋_GB2312" w:cs="MS Mincho"/>
          <w:sz w:val="28"/>
          <w:szCs w:val="28"/>
        </w:rPr>
        <w:t>集团将先进的BIM技术和基坑信息化监测系统用于工程建设，历经7天7夜的连续浇筑，圆满完成筑底并创下了浙江省房屋建筑最深、离地铁最近的超深基坑施工新纪录。</w:t>
      </w:r>
    </w:p>
    <w:p>
      <w:pPr>
        <w:snapToGrid w:val="0"/>
        <w:spacing w:line="520" w:lineRule="exact"/>
        <w:ind w:firstLine="560" w:firstLineChars="200"/>
        <w:rPr>
          <w:rFonts w:ascii="仿宋_GB2312" w:hAnsi="MS Mincho" w:eastAsia="仿宋_GB2312" w:cs="MS Mincho"/>
          <w:sz w:val="28"/>
          <w:szCs w:val="28"/>
        </w:rPr>
      </w:pPr>
      <w:r>
        <w:rPr>
          <w:rFonts w:hint="eastAsia" w:ascii="仿宋_GB2312" w:hAnsi="MS Mincho" w:eastAsia="仿宋_GB2312" w:cs="MS Mincho"/>
          <w:sz w:val="28"/>
          <w:szCs w:val="28"/>
        </w:rPr>
        <w:t>杭州中心位于杭州市武林广场东北角，临近地铁武林广场站、区间隧道、高层建筑省科协大楼及居民区，总建筑面积25万平方米，由两栋26层、28层的超高层塔楼、7-9层裙房及6层地下室组成。两座塔楼主要用于商务办公与商业酒店，建成后将成为杭州武林商圈的新地标。                                      （上海建工）</w:t>
      </w:r>
    </w:p>
    <w:p>
      <w:pPr>
        <w:snapToGrid w:val="0"/>
        <w:spacing w:line="440" w:lineRule="exact"/>
        <w:jc w:val="center"/>
        <w:rPr>
          <w:rFonts w:ascii="华文中宋" w:hAnsi="华文中宋" w:eastAsia="华文中宋" w:cs="仿宋_GB2312"/>
          <w:b/>
          <w:sz w:val="28"/>
          <w:szCs w:val="28"/>
        </w:rPr>
      </w:pP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上海仪电与上海邮政、邮储银行上海分行签署三方战略合作协议</w:t>
      </w:r>
    </w:p>
    <w:p>
      <w:pPr>
        <w:snapToGrid w:val="0"/>
        <w:spacing w:line="440" w:lineRule="exact"/>
        <w:jc w:val="center"/>
        <w:rPr>
          <w:rFonts w:ascii="华文中宋" w:hAnsi="华文中宋" w:eastAsia="华文中宋" w:cs="仿宋_GB2312"/>
          <w:b/>
          <w:sz w:val="28"/>
          <w:szCs w:val="28"/>
        </w:rPr>
      </w:pPr>
    </w:p>
    <w:p>
      <w:pPr>
        <w:snapToGrid w:val="0"/>
        <w:spacing w:line="520" w:lineRule="exact"/>
        <w:ind w:firstLine="560" w:firstLineChars="200"/>
        <w:rPr>
          <w:rFonts w:ascii="仿宋_GB2312" w:hAnsi="MS Mincho" w:eastAsia="仿宋_GB2312" w:cs="MS Mincho"/>
          <w:sz w:val="28"/>
          <w:szCs w:val="28"/>
        </w:rPr>
      </w:pPr>
      <w:r>
        <w:rPr>
          <w:rFonts w:hint="eastAsia" w:ascii="仿宋_GB2312" w:hAnsi="MS Mincho" w:eastAsia="仿宋_GB2312" w:cs="MS Mincho"/>
          <w:sz w:val="28"/>
          <w:szCs w:val="28"/>
        </w:rPr>
        <w:t>近日，上海仪电与上海邮政、邮储银行上海分行签署三方战略合作协议，三方将在银行业务、寄递业务、渠道合作、数据应用等方面开发新业务、拓展新市场。在银行业务方面，邮储银行上海分行将为上海仪电及其上下游客户在授信、账户结算、存款业务、融资等方面提供一揽子综合金融服务支持。在寄递业务方面，上海邮政将利用物流配送网络、信息系统等资源，为上海仪电及下属企业提供寄递配送、仓配一体化等个性化增值服务。在渠道合作方面，三方将在智慧照明、智能安防、“智能包裹柜”布放、楼宇进驻服务等方面开展深度合作，共同推动智慧城市、绿色邮政建设。在数据应用方面，三方将共同探索推进新技术、新产业、新模式、新业态，深化数据挖掘分析，面向市场推出更多组合产品与增值服务。                  （上海仪电）</w:t>
      </w:r>
    </w:p>
    <w:p>
      <w:pPr>
        <w:snapToGrid w:val="0"/>
        <w:spacing w:line="440" w:lineRule="exact"/>
        <w:jc w:val="center"/>
        <w:rPr>
          <w:rFonts w:ascii="华文中宋" w:hAnsi="华文中宋" w:eastAsia="华文中宋" w:cs="仿宋_GB2312"/>
          <w:b/>
          <w:sz w:val="28"/>
          <w:szCs w:val="28"/>
        </w:rPr>
      </w:pP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隧道股份承建的甬台温高速复线灵苍段通车</w:t>
      </w:r>
    </w:p>
    <w:p>
      <w:pPr>
        <w:snapToGrid w:val="0"/>
        <w:spacing w:line="440" w:lineRule="exact"/>
        <w:jc w:val="center"/>
        <w:rPr>
          <w:rFonts w:ascii="华文中宋" w:hAnsi="华文中宋" w:eastAsia="华文中宋" w:cs="仿宋_GB2312"/>
          <w:b/>
          <w:sz w:val="28"/>
          <w:szCs w:val="28"/>
        </w:rPr>
      </w:pPr>
    </w:p>
    <w:p>
      <w:pPr>
        <w:snapToGrid w:val="0"/>
        <w:spacing w:line="520" w:lineRule="exact"/>
        <w:ind w:firstLine="560" w:firstLineChars="200"/>
        <w:rPr>
          <w:rFonts w:ascii="仿宋_GB2312" w:hAnsi="MS Mincho" w:eastAsia="仿宋_GB2312" w:cs="MS Mincho"/>
          <w:sz w:val="28"/>
          <w:szCs w:val="28"/>
        </w:rPr>
      </w:pPr>
      <w:r>
        <w:rPr>
          <w:rFonts w:hint="eastAsia" w:ascii="仿宋_GB2312" w:hAnsi="MS Mincho" w:eastAsia="仿宋_GB2312" w:cs="MS Mincho"/>
          <w:sz w:val="28"/>
          <w:szCs w:val="28"/>
        </w:rPr>
        <w:t>近日，浙江甬台温高速复线灵昆至苍南段建成通车。</w:t>
      </w:r>
      <w:r>
        <w:rPr>
          <w:rFonts w:ascii="仿宋_GB2312" w:hAnsi="MS Mincho" w:eastAsia="仿宋_GB2312" w:cs="MS Mincho"/>
          <w:sz w:val="28"/>
          <w:szCs w:val="28"/>
        </w:rPr>
        <w:t>该路段北起温州灵昆岛，南至浙闽交界岱岭，</w:t>
      </w:r>
      <w:r>
        <w:rPr>
          <w:rFonts w:hint="eastAsia" w:ascii="仿宋_GB2312" w:hAnsi="MS Mincho" w:eastAsia="仿宋_GB2312" w:cs="MS Mincho"/>
          <w:sz w:val="28"/>
          <w:szCs w:val="28"/>
        </w:rPr>
        <w:t>全长95公里，</w:t>
      </w:r>
      <w:r>
        <w:rPr>
          <w:rFonts w:ascii="仿宋_GB2312" w:hAnsi="MS Mincho" w:eastAsia="仿宋_GB2312" w:cs="MS Mincho"/>
          <w:sz w:val="28"/>
          <w:szCs w:val="28"/>
        </w:rPr>
        <w:t>为温州东部沿海一条快速通道</w:t>
      </w:r>
      <w:r>
        <w:rPr>
          <w:rFonts w:hint="eastAsia" w:ascii="仿宋_GB2312" w:hAnsi="MS Mincho" w:eastAsia="仿宋_GB2312" w:cs="MS Mincho"/>
          <w:sz w:val="28"/>
          <w:szCs w:val="28"/>
        </w:rPr>
        <w:t>。该工程由灵昆至阁巷、瑞安至苍南段两个项目组成，其中，隧道股份上海隧道承建了甬台温复线瑞安至苍南段工程10标，承担全长3.86km施工任务，主要包括渔寮隧道3.2km和赤溪中墩大桥641m，设计时速100km/h，为分离式双线六车道。</w:t>
      </w:r>
    </w:p>
    <w:p>
      <w:pPr>
        <w:snapToGrid w:val="0"/>
        <w:spacing w:line="520" w:lineRule="exact"/>
        <w:ind w:firstLine="560" w:firstLineChars="200"/>
        <w:rPr>
          <w:rFonts w:ascii="仿宋_GB2312" w:hAnsi="MS Mincho" w:eastAsia="仿宋_GB2312" w:cs="MS Mincho"/>
          <w:sz w:val="28"/>
          <w:szCs w:val="28"/>
        </w:rPr>
      </w:pPr>
      <w:r>
        <w:rPr>
          <w:rFonts w:hint="eastAsia" w:ascii="仿宋_GB2312" w:hAnsi="MS Mincho" w:eastAsia="仿宋_GB2312" w:cs="MS Mincho"/>
          <w:sz w:val="28"/>
          <w:szCs w:val="28"/>
        </w:rPr>
        <w:t>甬台温复线灵昆至苍南段的建成，对于完善浙江省高速公路网络主骨架、缓解甬台温高速公路交通压力、融入“长三角”一体化发展战略、接轨海峡西岸经济区、带动地方经济社会发展、推进全省沿海大通道建设均具有重要意义。                        （隧道股份）</w:t>
      </w:r>
    </w:p>
    <w:p>
      <w:pPr>
        <w:snapToGrid w:val="0"/>
        <w:spacing w:line="440" w:lineRule="exact"/>
        <w:jc w:val="center"/>
        <w:rPr>
          <w:rFonts w:ascii="华文中宋" w:hAnsi="华文中宋" w:eastAsia="华文中宋" w:cs="仿宋_GB2312"/>
          <w:b/>
          <w:sz w:val="28"/>
          <w:szCs w:val="28"/>
        </w:rPr>
      </w:pP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上海国际集团扎实推进金控试点基础性工作</w:t>
      </w: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——顺利完成金控统计试点首次数据报送</w:t>
      </w:r>
    </w:p>
    <w:p>
      <w:pPr>
        <w:snapToGrid w:val="0"/>
        <w:spacing w:line="440" w:lineRule="exact"/>
        <w:jc w:val="center"/>
        <w:rPr>
          <w:rFonts w:ascii="华文中宋" w:hAnsi="华文中宋" w:eastAsia="华文中宋" w:cs="仿宋_GB2312"/>
          <w:b/>
          <w:sz w:val="28"/>
          <w:szCs w:val="28"/>
        </w:rPr>
      </w:pPr>
    </w:p>
    <w:p>
      <w:pPr>
        <w:snapToGrid w:val="0"/>
        <w:spacing w:line="520" w:lineRule="exact"/>
        <w:ind w:firstLine="560" w:firstLineChars="200"/>
        <w:rPr>
          <w:rFonts w:ascii="仿宋_GB2312" w:hAnsi="MS Mincho" w:eastAsia="仿宋_GB2312" w:cs="MS Mincho"/>
          <w:sz w:val="28"/>
          <w:szCs w:val="28"/>
        </w:rPr>
      </w:pPr>
      <w:r>
        <w:rPr>
          <w:rFonts w:hint="eastAsia" w:ascii="仿宋_GB2312" w:hAnsi="MS Mincho" w:eastAsia="仿宋_GB2312" w:cs="MS Mincho"/>
          <w:sz w:val="28"/>
          <w:szCs w:val="28"/>
        </w:rPr>
        <w:t>近日，上海国际集团与浦发银行、上海农商银行、国泰君安三家金融机构以及集团子公司通力合作，顺利完成金控公司统计试点首次统计报送工作。开展金控监管试点是人民银行规范金控公司监管的基础性工作，也是中央防范化解系统性金融风险的一项重要举措。自2018年3月，集团获批作为首批金控监管试点企业以来，积极探索对所控股金融机构的并表管理，初步建立金控数据采集系统，定期监测金融机构风险、财务等关键指标。</w:t>
      </w:r>
    </w:p>
    <w:p>
      <w:pPr>
        <w:snapToGrid w:val="0"/>
        <w:spacing w:line="520" w:lineRule="exact"/>
        <w:ind w:firstLine="560" w:firstLineChars="200"/>
        <w:rPr>
          <w:rFonts w:ascii="仿宋_GB2312" w:hAnsi="MS Mincho" w:eastAsia="仿宋_GB2312" w:cs="MS Mincho"/>
          <w:sz w:val="28"/>
          <w:szCs w:val="28"/>
        </w:rPr>
      </w:pPr>
      <w:r>
        <w:rPr>
          <w:rFonts w:hint="eastAsia" w:ascii="仿宋_GB2312" w:hAnsi="MS Mincho" w:eastAsia="仿宋_GB2312" w:cs="MS Mincho"/>
          <w:sz w:val="28"/>
          <w:szCs w:val="28"/>
        </w:rPr>
        <w:t>下一步，集团将根据人民银行对本次报送数据的审核情况，研究建立金控统计常态化工作机制，加强工作创新，为探索打造金融控股平台打下坚实基础。                          （上海国际集团）</w:t>
      </w:r>
    </w:p>
    <w:p>
      <w:pPr>
        <w:snapToGrid w:val="0"/>
        <w:spacing w:line="440" w:lineRule="exact"/>
        <w:jc w:val="center"/>
        <w:rPr>
          <w:rFonts w:ascii="华文中宋" w:hAnsi="华文中宋" w:eastAsia="华文中宋" w:cs="仿宋_GB2312"/>
          <w:b/>
          <w:sz w:val="28"/>
          <w:szCs w:val="28"/>
        </w:rPr>
      </w:pPr>
    </w:p>
    <w:p>
      <w:pPr>
        <w:widowControl/>
        <w:spacing w:line="440" w:lineRule="exact"/>
        <w:rPr>
          <w:rFonts w:ascii="仿宋_GB2312" w:eastAsia="仿宋_GB2312"/>
          <w:sz w:val="28"/>
          <w:szCs w:val="28"/>
        </w:rPr>
      </w:pPr>
      <w:r>
        <w:rPr>
          <w:rFonts w:hint="eastAsia" w:ascii="楷体_GB2312" w:eastAsia="楷体_GB2312"/>
          <w:b/>
          <w:sz w:val="32"/>
          <w:szCs w:val="32"/>
        </w:rPr>
        <w:t>简讯</w:t>
      </w:r>
    </w:p>
    <w:p>
      <w:pPr>
        <w:snapToGrid w:val="0"/>
        <w:spacing w:line="520" w:lineRule="exact"/>
        <w:rPr>
          <w:rFonts w:ascii="仿宋_GB2312" w:hAnsi="MS Mincho" w:eastAsia="仿宋_GB2312" w:cs="MS Mincho"/>
          <w:sz w:val="28"/>
          <w:szCs w:val="28"/>
        </w:rPr>
      </w:pPr>
      <w:r>
        <w:rPr>
          <w:rFonts w:hint="eastAsia" w:ascii="仿宋_GB2312" w:hAnsi="MS Mincho" w:eastAsia="仿宋_GB2312" w:cs="MS Mincho"/>
          <w:sz w:val="28"/>
          <w:szCs w:val="28"/>
        </w:rPr>
        <w:t>▲近日，浦发银行与上海市经济和信息化委员会签署战略合作备忘录。双方将在产融结合、央地合作、民营经济、金融创新等方面进一步深化合作，加快推进上海地区现代化经济体系构建，推进经济高质量发展。                                        （浦发银行）</w:t>
      </w:r>
    </w:p>
    <w:p>
      <w:pPr>
        <w:pStyle w:val="14"/>
        <w:spacing w:before="0" w:beforeAutospacing="0" w:after="0" w:afterAutospacing="0" w:line="420" w:lineRule="atLeast"/>
        <w:rPr>
          <w:rFonts w:ascii="仿宋_GB2312" w:hAnsi="MS Mincho" w:eastAsia="仿宋_GB2312" w:cs="MS Mincho"/>
          <w:sz w:val="28"/>
          <w:szCs w:val="28"/>
        </w:rPr>
      </w:pPr>
      <w:r>
        <w:rPr>
          <w:rFonts w:hint="eastAsia" w:ascii="仿宋_GB2312" w:hAnsi="MS Mincho" w:eastAsia="仿宋_GB2312" w:cs="MS Mincho"/>
          <w:sz w:val="28"/>
          <w:szCs w:val="28"/>
        </w:rPr>
        <w:t>▲近日，上海农商银行与光明上海农场、叮咚买菜签订了三方合作协议，为客户提供便捷高效的支付结算服务。      （上海农商银行）</w:t>
      </w:r>
    </w:p>
    <w:p>
      <w:pPr>
        <w:snapToGrid w:val="0"/>
        <w:spacing w:line="520" w:lineRule="exact"/>
        <w:rPr>
          <w:rFonts w:ascii="仿宋_GB2312" w:hAnsi="MS Mincho" w:eastAsia="仿宋_GB2312" w:cs="MS Mincho"/>
          <w:sz w:val="28"/>
          <w:szCs w:val="28"/>
        </w:rPr>
      </w:pPr>
      <w:r>
        <w:rPr>
          <w:rFonts w:hint="eastAsia" w:ascii="仿宋_GB2312" w:hAnsi="MS Mincho" w:eastAsia="仿宋_GB2312" w:cs="MS Mincho"/>
          <w:sz w:val="28"/>
          <w:szCs w:val="28"/>
        </w:rPr>
        <w:t>▲日前，中国太保旗下产险公司推出的首款普惠金融组合产品“商户保”在中国太保官网出具首单，成功实现了线上支付、电子发票、电子保单的一键式投保。                            （中国太保）</w:t>
      </w:r>
    </w:p>
    <w:p>
      <w:pPr>
        <w:snapToGrid w:val="0"/>
        <w:spacing w:line="520" w:lineRule="exact"/>
        <w:rPr>
          <w:rFonts w:ascii="仿宋_GB2312" w:hAnsi="MS Mincho" w:eastAsia="仿宋_GB2312" w:cs="MS Mincho"/>
          <w:sz w:val="28"/>
          <w:szCs w:val="28"/>
        </w:rPr>
      </w:pPr>
      <w:bookmarkStart w:id="0" w:name="_GoBack"/>
      <w:bookmarkEnd w:id="0"/>
      <w:r>
        <w:rPr>
          <w:rFonts w:hint="eastAsia" w:ascii="仿宋_GB2312" w:hAnsi="MS Mincho" w:eastAsia="仿宋_GB2312" w:cs="MS Mincho"/>
          <w:sz w:val="28"/>
          <w:szCs w:val="28"/>
        </w:rPr>
        <w:t>▲日前，</w:t>
      </w:r>
      <w:r>
        <w:rPr>
          <w:rFonts w:ascii="仿宋_GB2312" w:hAnsi="MS Mincho" w:eastAsia="仿宋_GB2312" w:cs="MS Mincho"/>
          <w:sz w:val="28"/>
          <w:szCs w:val="28"/>
        </w:rPr>
        <w:t>上海申康医院发展中心和18家市级医院与来自全球五家国际跨国医疗器械厂商及东方国际集团下属东松公司共同签署了大型医用设备集中采购协议书</w:t>
      </w:r>
      <w:r>
        <w:rPr>
          <w:rFonts w:hint="eastAsia" w:ascii="仿宋_GB2312" w:hAnsi="MS Mincho" w:eastAsia="仿宋_GB2312" w:cs="MS Mincho"/>
          <w:sz w:val="28"/>
          <w:szCs w:val="28"/>
        </w:rPr>
        <w:t>，</w:t>
      </w:r>
      <w:r>
        <w:rPr>
          <w:rFonts w:ascii="仿宋_GB2312" w:hAnsi="MS Mincho" w:eastAsia="仿宋_GB2312" w:cs="MS Mincho"/>
          <w:sz w:val="28"/>
          <w:szCs w:val="28"/>
        </w:rPr>
        <w:t>包括最先进的CT、磁共振、数字血管减影造影系统、SPECT、PET/CT、直线加速器和手术机器人等35台设备，采购总金额达4.8亿元人民币。</w:t>
      </w:r>
      <w:r>
        <w:rPr>
          <w:rFonts w:hint="eastAsia" w:ascii="仿宋_GB2312" w:hAnsi="MS Mincho" w:eastAsia="仿宋_GB2312" w:cs="MS Mincho"/>
          <w:sz w:val="28"/>
          <w:szCs w:val="28"/>
        </w:rPr>
        <w:t xml:space="preserve">                     （东方国际）</w:t>
      </w:r>
    </w:p>
    <w:p>
      <w:pPr>
        <w:snapToGrid w:val="0"/>
        <w:spacing w:line="520" w:lineRule="exact"/>
        <w:rPr>
          <w:rFonts w:ascii="仿宋_GB2312" w:hAnsi="MS Mincho" w:eastAsia="仿宋_GB2312" w:cs="MS Mincho"/>
          <w:sz w:val="28"/>
          <w:szCs w:val="28"/>
        </w:rPr>
      </w:pPr>
    </w:p>
    <w:p>
      <w:pPr>
        <w:snapToGrid w:val="0"/>
        <w:spacing w:line="520" w:lineRule="exact"/>
        <w:rPr>
          <w:rFonts w:ascii="仿宋_GB2312" w:hAnsi="MS Mincho" w:eastAsia="仿宋_GB2312" w:cs="MS Mincho"/>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type Corsiva">
    <w:panose1 w:val="03010101010201010101"/>
    <w:charset w:val="00"/>
    <w:family w:val="script"/>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396"/>
    <w:rsid w:val="00000FAA"/>
    <w:rsid w:val="00002AC6"/>
    <w:rsid w:val="00002C07"/>
    <w:rsid w:val="00006F12"/>
    <w:rsid w:val="00007C4C"/>
    <w:rsid w:val="0001329D"/>
    <w:rsid w:val="00013789"/>
    <w:rsid w:val="00015FC2"/>
    <w:rsid w:val="0001742B"/>
    <w:rsid w:val="00031F4C"/>
    <w:rsid w:val="0003469B"/>
    <w:rsid w:val="00034B6D"/>
    <w:rsid w:val="000647F9"/>
    <w:rsid w:val="00064FA7"/>
    <w:rsid w:val="0007425C"/>
    <w:rsid w:val="000746E6"/>
    <w:rsid w:val="00074EC8"/>
    <w:rsid w:val="00090C3B"/>
    <w:rsid w:val="00090F2D"/>
    <w:rsid w:val="000B3829"/>
    <w:rsid w:val="000C57A1"/>
    <w:rsid w:val="000C5F41"/>
    <w:rsid w:val="000D1BF7"/>
    <w:rsid w:val="000D7214"/>
    <w:rsid w:val="000E02F4"/>
    <w:rsid w:val="000E4F5E"/>
    <w:rsid w:val="0010261D"/>
    <w:rsid w:val="001132B9"/>
    <w:rsid w:val="00140209"/>
    <w:rsid w:val="001405CC"/>
    <w:rsid w:val="00141202"/>
    <w:rsid w:val="00145599"/>
    <w:rsid w:val="001525F7"/>
    <w:rsid w:val="00153DFB"/>
    <w:rsid w:val="00155D55"/>
    <w:rsid w:val="0016124E"/>
    <w:rsid w:val="001640D1"/>
    <w:rsid w:val="00167BF6"/>
    <w:rsid w:val="00172CD7"/>
    <w:rsid w:val="001773B1"/>
    <w:rsid w:val="00181054"/>
    <w:rsid w:val="001901FE"/>
    <w:rsid w:val="00190D03"/>
    <w:rsid w:val="00193433"/>
    <w:rsid w:val="00194B0B"/>
    <w:rsid w:val="00196053"/>
    <w:rsid w:val="001A69A5"/>
    <w:rsid w:val="001C6EA8"/>
    <w:rsid w:val="001D4D16"/>
    <w:rsid w:val="001E2DDC"/>
    <w:rsid w:val="001E32B9"/>
    <w:rsid w:val="001F0B15"/>
    <w:rsid w:val="001F3284"/>
    <w:rsid w:val="002007D9"/>
    <w:rsid w:val="00215E03"/>
    <w:rsid w:val="0021625B"/>
    <w:rsid w:val="00225D1D"/>
    <w:rsid w:val="002345B4"/>
    <w:rsid w:val="002414BE"/>
    <w:rsid w:val="00245B98"/>
    <w:rsid w:val="00250EE1"/>
    <w:rsid w:val="00251F25"/>
    <w:rsid w:val="0027141F"/>
    <w:rsid w:val="002725F5"/>
    <w:rsid w:val="002733F6"/>
    <w:rsid w:val="00276970"/>
    <w:rsid w:val="002772BF"/>
    <w:rsid w:val="002800E1"/>
    <w:rsid w:val="002873F1"/>
    <w:rsid w:val="00287E63"/>
    <w:rsid w:val="002963CE"/>
    <w:rsid w:val="002C7FAC"/>
    <w:rsid w:val="002E20CB"/>
    <w:rsid w:val="002E3B45"/>
    <w:rsid w:val="002E7F94"/>
    <w:rsid w:val="002F182B"/>
    <w:rsid w:val="003000CC"/>
    <w:rsid w:val="003207EB"/>
    <w:rsid w:val="00321FA9"/>
    <w:rsid w:val="00322A43"/>
    <w:rsid w:val="0033744E"/>
    <w:rsid w:val="003378A2"/>
    <w:rsid w:val="003414AF"/>
    <w:rsid w:val="003462C0"/>
    <w:rsid w:val="003471A7"/>
    <w:rsid w:val="00364221"/>
    <w:rsid w:val="00364420"/>
    <w:rsid w:val="003647D1"/>
    <w:rsid w:val="00370930"/>
    <w:rsid w:val="00375B92"/>
    <w:rsid w:val="00381E77"/>
    <w:rsid w:val="00385C48"/>
    <w:rsid w:val="0038694D"/>
    <w:rsid w:val="003956EC"/>
    <w:rsid w:val="00397B9E"/>
    <w:rsid w:val="003A4ABC"/>
    <w:rsid w:val="003B1C8F"/>
    <w:rsid w:val="003B7B3B"/>
    <w:rsid w:val="003C73EE"/>
    <w:rsid w:val="003C787B"/>
    <w:rsid w:val="003E3910"/>
    <w:rsid w:val="003E6B0D"/>
    <w:rsid w:val="003F2E84"/>
    <w:rsid w:val="00402456"/>
    <w:rsid w:val="00414040"/>
    <w:rsid w:val="00421731"/>
    <w:rsid w:val="00430005"/>
    <w:rsid w:val="0043003B"/>
    <w:rsid w:val="00433D3B"/>
    <w:rsid w:val="00433EDF"/>
    <w:rsid w:val="004366C2"/>
    <w:rsid w:val="00440CF1"/>
    <w:rsid w:val="00444494"/>
    <w:rsid w:val="00451686"/>
    <w:rsid w:val="00456E58"/>
    <w:rsid w:val="004704C7"/>
    <w:rsid w:val="00472137"/>
    <w:rsid w:val="004739EB"/>
    <w:rsid w:val="00481502"/>
    <w:rsid w:val="00484DDD"/>
    <w:rsid w:val="004908C1"/>
    <w:rsid w:val="0049420C"/>
    <w:rsid w:val="004C3236"/>
    <w:rsid w:val="004C7097"/>
    <w:rsid w:val="004D0B2F"/>
    <w:rsid w:val="004E0DFD"/>
    <w:rsid w:val="004E1891"/>
    <w:rsid w:val="004E6EC0"/>
    <w:rsid w:val="004F4CD6"/>
    <w:rsid w:val="004F5295"/>
    <w:rsid w:val="004F556E"/>
    <w:rsid w:val="004F74C0"/>
    <w:rsid w:val="00501CEE"/>
    <w:rsid w:val="00503F97"/>
    <w:rsid w:val="005044DE"/>
    <w:rsid w:val="005140EA"/>
    <w:rsid w:val="00514BAF"/>
    <w:rsid w:val="00516D7B"/>
    <w:rsid w:val="00521B4C"/>
    <w:rsid w:val="00537671"/>
    <w:rsid w:val="005451CF"/>
    <w:rsid w:val="00550834"/>
    <w:rsid w:val="0055228E"/>
    <w:rsid w:val="00554520"/>
    <w:rsid w:val="005717C0"/>
    <w:rsid w:val="00577B11"/>
    <w:rsid w:val="00584D62"/>
    <w:rsid w:val="005929DB"/>
    <w:rsid w:val="0059522F"/>
    <w:rsid w:val="005A47EB"/>
    <w:rsid w:val="005A728D"/>
    <w:rsid w:val="005A739D"/>
    <w:rsid w:val="005D6326"/>
    <w:rsid w:val="005E263F"/>
    <w:rsid w:val="005E6016"/>
    <w:rsid w:val="005F05DF"/>
    <w:rsid w:val="005F1328"/>
    <w:rsid w:val="005F324A"/>
    <w:rsid w:val="006010ED"/>
    <w:rsid w:val="00601ADD"/>
    <w:rsid w:val="006072FB"/>
    <w:rsid w:val="00607DB3"/>
    <w:rsid w:val="00613385"/>
    <w:rsid w:val="00613B83"/>
    <w:rsid w:val="00617DE7"/>
    <w:rsid w:val="006207A3"/>
    <w:rsid w:val="00621147"/>
    <w:rsid w:val="006224BF"/>
    <w:rsid w:val="00632D38"/>
    <w:rsid w:val="006356C1"/>
    <w:rsid w:val="006416FC"/>
    <w:rsid w:val="0064528F"/>
    <w:rsid w:val="0066278B"/>
    <w:rsid w:val="006708DF"/>
    <w:rsid w:val="006909B1"/>
    <w:rsid w:val="0069118D"/>
    <w:rsid w:val="006945A2"/>
    <w:rsid w:val="00696006"/>
    <w:rsid w:val="006A01E0"/>
    <w:rsid w:val="006B1633"/>
    <w:rsid w:val="006B73C1"/>
    <w:rsid w:val="006C1CED"/>
    <w:rsid w:val="006C588B"/>
    <w:rsid w:val="006D6208"/>
    <w:rsid w:val="006E1BD7"/>
    <w:rsid w:val="007017A3"/>
    <w:rsid w:val="00707A30"/>
    <w:rsid w:val="00715401"/>
    <w:rsid w:val="00733342"/>
    <w:rsid w:val="0073436F"/>
    <w:rsid w:val="00736F7B"/>
    <w:rsid w:val="00742BC1"/>
    <w:rsid w:val="0076069A"/>
    <w:rsid w:val="00760B0F"/>
    <w:rsid w:val="00762A37"/>
    <w:rsid w:val="00780F7C"/>
    <w:rsid w:val="007817E0"/>
    <w:rsid w:val="00783464"/>
    <w:rsid w:val="00787376"/>
    <w:rsid w:val="00787A46"/>
    <w:rsid w:val="00793EAB"/>
    <w:rsid w:val="00795958"/>
    <w:rsid w:val="00795B0F"/>
    <w:rsid w:val="00797543"/>
    <w:rsid w:val="007A5104"/>
    <w:rsid w:val="007B4942"/>
    <w:rsid w:val="007C0C91"/>
    <w:rsid w:val="007C3283"/>
    <w:rsid w:val="007D23E2"/>
    <w:rsid w:val="007E5C11"/>
    <w:rsid w:val="0081666C"/>
    <w:rsid w:val="00823E1D"/>
    <w:rsid w:val="00825221"/>
    <w:rsid w:val="00827F06"/>
    <w:rsid w:val="00834365"/>
    <w:rsid w:val="0084093A"/>
    <w:rsid w:val="00857916"/>
    <w:rsid w:val="008601FE"/>
    <w:rsid w:val="008602D7"/>
    <w:rsid w:val="00861840"/>
    <w:rsid w:val="00871C9E"/>
    <w:rsid w:val="00874450"/>
    <w:rsid w:val="00875183"/>
    <w:rsid w:val="00875F70"/>
    <w:rsid w:val="0089215D"/>
    <w:rsid w:val="008A1CAF"/>
    <w:rsid w:val="008A6194"/>
    <w:rsid w:val="008C6D5F"/>
    <w:rsid w:val="008D018D"/>
    <w:rsid w:val="008D3902"/>
    <w:rsid w:val="008D71E6"/>
    <w:rsid w:val="008E0C1C"/>
    <w:rsid w:val="008E3C61"/>
    <w:rsid w:val="008F5326"/>
    <w:rsid w:val="00905E17"/>
    <w:rsid w:val="00915819"/>
    <w:rsid w:val="00944AC1"/>
    <w:rsid w:val="00952E47"/>
    <w:rsid w:val="009566BE"/>
    <w:rsid w:val="00960CB4"/>
    <w:rsid w:val="00974F69"/>
    <w:rsid w:val="0097657F"/>
    <w:rsid w:val="00992FD1"/>
    <w:rsid w:val="0099345C"/>
    <w:rsid w:val="00993DE1"/>
    <w:rsid w:val="00997739"/>
    <w:rsid w:val="009A1E92"/>
    <w:rsid w:val="009A25F5"/>
    <w:rsid w:val="009A2FE3"/>
    <w:rsid w:val="009A7EC7"/>
    <w:rsid w:val="009B533A"/>
    <w:rsid w:val="009B5D0E"/>
    <w:rsid w:val="009C0B2C"/>
    <w:rsid w:val="009C3AE2"/>
    <w:rsid w:val="009D305A"/>
    <w:rsid w:val="009E5B7A"/>
    <w:rsid w:val="009F3A71"/>
    <w:rsid w:val="009F72FA"/>
    <w:rsid w:val="00A00C04"/>
    <w:rsid w:val="00A14461"/>
    <w:rsid w:val="00A169B1"/>
    <w:rsid w:val="00A16F06"/>
    <w:rsid w:val="00A201E8"/>
    <w:rsid w:val="00A2504A"/>
    <w:rsid w:val="00A26676"/>
    <w:rsid w:val="00A26B26"/>
    <w:rsid w:val="00A27A03"/>
    <w:rsid w:val="00A445F0"/>
    <w:rsid w:val="00A51BBA"/>
    <w:rsid w:val="00A54D6A"/>
    <w:rsid w:val="00A61127"/>
    <w:rsid w:val="00A77CFE"/>
    <w:rsid w:val="00A801C4"/>
    <w:rsid w:val="00A82014"/>
    <w:rsid w:val="00A83AF5"/>
    <w:rsid w:val="00A901CD"/>
    <w:rsid w:val="00A90C9D"/>
    <w:rsid w:val="00AA3DB3"/>
    <w:rsid w:val="00AA5F10"/>
    <w:rsid w:val="00AA6893"/>
    <w:rsid w:val="00AB09B7"/>
    <w:rsid w:val="00AB2D35"/>
    <w:rsid w:val="00AB751F"/>
    <w:rsid w:val="00AC3FB2"/>
    <w:rsid w:val="00AD47FF"/>
    <w:rsid w:val="00AD4CF6"/>
    <w:rsid w:val="00AD53A2"/>
    <w:rsid w:val="00AE3314"/>
    <w:rsid w:val="00AE348B"/>
    <w:rsid w:val="00AE3AAA"/>
    <w:rsid w:val="00B00A74"/>
    <w:rsid w:val="00B01C05"/>
    <w:rsid w:val="00B02E01"/>
    <w:rsid w:val="00B07F67"/>
    <w:rsid w:val="00B137AC"/>
    <w:rsid w:val="00B14A08"/>
    <w:rsid w:val="00B21BEF"/>
    <w:rsid w:val="00B24B34"/>
    <w:rsid w:val="00B42985"/>
    <w:rsid w:val="00B541E5"/>
    <w:rsid w:val="00B60780"/>
    <w:rsid w:val="00B610D4"/>
    <w:rsid w:val="00B6220A"/>
    <w:rsid w:val="00B71AFF"/>
    <w:rsid w:val="00B76D4D"/>
    <w:rsid w:val="00B821DC"/>
    <w:rsid w:val="00B91A45"/>
    <w:rsid w:val="00BC1A39"/>
    <w:rsid w:val="00BC2683"/>
    <w:rsid w:val="00BC349C"/>
    <w:rsid w:val="00BC39F2"/>
    <w:rsid w:val="00BE08A2"/>
    <w:rsid w:val="00BE24E8"/>
    <w:rsid w:val="00BE33F4"/>
    <w:rsid w:val="00BE5B5A"/>
    <w:rsid w:val="00C10798"/>
    <w:rsid w:val="00C144E6"/>
    <w:rsid w:val="00C21152"/>
    <w:rsid w:val="00C353C5"/>
    <w:rsid w:val="00C355A1"/>
    <w:rsid w:val="00C36125"/>
    <w:rsid w:val="00C42A5D"/>
    <w:rsid w:val="00C43C8C"/>
    <w:rsid w:val="00C45076"/>
    <w:rsid w:val="00C53382"/>
    <w:rsid w:val="00C53F26"/>
    <w:rsid w:val="00C56905"/>
    <w:rsid w:val="00C63E70"/>
    <w:rsid w:val="00C66A0C"/>
    <w:rsid w:val="00C75F06"/>
    <w:rsid w:val="00C8455E"/>
    <w:rsid w:val="00C8756D"/>
    <w:rsid w:val="00C92066"/>
    <w:rsid w:val="00CA02A0"/>
    <w:rsid w:val="00CA3B67"/>
    <w:rsid w:val="00CA7723"/>
    <w:rsid w:val="00CB45A6"/>
    <w:rsid w:val="00CB551D"/>
    <w:rsid w:val="00CD1D60"/>
    <w:rsid w:val="00CD4BD0"/>
    <w:rsid w:val="00CF0723"/>
    <w:rsid w:val="00CF09D0"/>
    <w:rsid w:val="00CF394E"/>
    <w:rsid w:val="00CF39CD"/>
    <w:rsid w:val="00D0734A"/>
    <w:rsid w:val="00D22E35"/>
    <w:rsid w:val="00D36658"/>
    <w:rsid w:val="00D37746"/>
    <w:rsid w:val="00D411E9"/>
    <w:rsid w:val="00D46520"/>
    <w:rsid w:val="00D53FB7"/>
    <w:rsid w:val="00D60AC2"/>
    <w:rsid w:val="00D7393E"/>
    <w:rsid w:val="00D86E90"/>
    <w:rsid w:val="00DB3871"/>
    <w:rsid w:val="00DB6EC8"/>
    <w:rsid w:val="00DC2CBB"/>
    <w:rsid w:val="00DC384E"/>
    <w:rsid w:val="00DC3B6B"/>
    <w:rsid w:val="00DD06E8"/>
    <w:rsid w:val="00DD4CA6"/>
    <w:rsid w:val="00DD5044"/>
    <w:rsid w:val="00DD6737"/>
    <w:rsid w:val="00DD7F1A"/>
    <w:rsid w:val="00DE7B7C"/>
    <w:rsid w:val="00E06BA5"/>
    <w:rsid w:val="00E141A9"/>
    <w:rsid w:val="00E25E06"/>
    <w:rsid w:val="00E31A98"/>
    <w:rsid w:val="00E33FC5"/>
    <w:rsid w:val="00E355DA"/>
    <w:rsid w:val="00E47EFA"/>
    <w:rsid w:val="00E552A5"/>
    <w:rsid w:val="00E742C4"/>
    <w:rsid w:val="00E76E48"/>
    <w:rsid w:val="00E77D9F"/>
    <w:rsid w:val="00E841E2"/>
    <w:rsid w:val="00E943ED"/>
    <w:rsid w:val="00E9480A"/>
    <w:rsid w:val="00EA388C"/>
    <w:rsid w:val="00EA4319"/>
    <w:rsid w:val="00EA55C7"/>
    <w:rsid w:val="00EB2B8C"/>
    <w:rsid w:val="00EB2BBF"/>
    <w:rsid w:val="00EB3A4D"/>
    <w:rsid w:val="00EB54D6"/>
    <w:rsid w:val="00EC6F20"/>
    <w:rsid w:val="00ED1607"/>
    <w:rsid w:val="00EE16A1"/>
    <w:rsid w:val="00EE19E5"/>
    <w:rsid w:val="00EE1F39"/>
    <w:rsid w:val="00EE209F"/>
    <w:rsid w:val="00EF1FDD"/>
    <w:rsid w:val="00EF43B3"/>
    <w:rsid w:val="00EF5772"/>
    <w:rsid w:val="00EF6EE8"/>
    <w:rsid w:val="00EF7909"/>
    <w:rsid w:val="00F00A96"/>
    <w:rsid w:val="00F06688"/>
    <w:rsid w:val="00F12A9D"/>
    <w:rsid w:val="00F31151"/>
    <w:rsid w:val="00F5758B"/>
    <w:rsid w:val="00F61524"/>
    <w:rsid w:val="00F64246"/>
    <w:rsid w:val="00F6771A"/>
    <w:rsid w:val="00F7684D"/>
    <w:rsid w:val="00F80133"/>
    <w:rsid w:val="00F803C2"/>
    <w:rsid w:val="00F82D7A"/>
    <w:rsid w:val="00F845E0"/>
    <w:rsid w:val="00F86788"/>
    <w:rsid w:val="00F95633"/>
    <w:rsid w:val="00F95C01"/>
    <w:rsid w:val="00F971F0"/>
    <w:rsid w:val="00FA5007"/>
    <w:rsid w:val="00FA5823"/>
    <w:rsid w:val="00FA6096"/>
    <w:rsid w:val="00FA7396"/>
    <w:rsid w:val="00FB6E59"/>
    <w:rsid w:val="00FB7604"/>
    <w:rsid w:val="00FC3C73"/>
    <w:rsid w:val="00FD5608"/>
    <w:rsid w:val="00FE0930"/>
    <w:rsid w:val="00FE20AA"/>
    <w:rsid w:val="00FE46EA"/>
    <w:rsid w:val="00FE69C6"/>
    <w:rsid w:val="00FF1F8B"/>
    <w:rsid w:val="0990456F"/>
    <w:rsid w:val="3BC9798F"/>
    <w:rsid w:val="5A6F1048"/>
    <w:rsid w:val="5D12778A"/>
    <w:rsid w:val="684A41CF"/>
    <w:rsid w:val="7F6A196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character" w:styleId="9">
    <w:name w:val="page number"/>
    <w:basedOn w:val="7"/>
    <w:semiHidden/>
    <w:unhideWhenUsed/>
    <w:uiPriority w:val="0"/>
  </w:style>
  <w:style w:type="paragraph" w:customStyle="1" w:styleId="10">
    <w:name w:val="列出段落1"/>
    <w:basedOn w:val="1"/>
    <w:qFormat/>
    <w:uiPriority w:val="34"/>
    <w:pPr>
      <w:ind w:firstLine="420" w:firstLineChars="200"/>
    </w:pPr>
  </w:style>
  <w:style w:type="character" w:customStyle="1" w:styleId="11">
    <w:name w:val="页眉 Char"/>
    <w:basedOn w:val="7"/>
    <w:link w:val="4"/>
    <w:semiHidden/>
    <w:qFormat/>
    <w:uiPriority w:val="99"/>
    <w:rPr>
      <w:rFonts w:ascii="Times New Roman" w:hAnsi="Times New Roman" w:eastAsia="宋体" w:cs="Times New Roman"/>
      <w:sz w:val="18"/>
      <w:szCs w:val="18"/>
    </w:rPr>
  </w:style>
  <w:style w:type="character" w:customStyle="1" w:styleId="12">
    <w:name w:val="页脚 Char"/>
    <w:basedOn w:val="7"/>
    <w:link w:val="3"/>
    <w:semiHidden/>
    <w:uiPriority w:val="99"/>
    <w:rPr>
      <w:rFonts w:ascii="Times New Roman" w:hAnsi="Times New Roman" w:eastAsia="宋体" w:cs="Times New Roman"/>
      <w:sz w:val="18"/>
      <w:szCs w:val="18"/>
    </w:rPr>
  </w:style>
  <w:style w:type="character" w:customStyle="1" w:styleId="13">
    <w:name w:val="标题 1 Char"/>
    <w:basedOn w:val="7"/>
    <w:link w:val="2"/>
    <w:qFormat/>
    <w:uiPriority w:val="9"/>
    <w:rPr>
      <w:rFonts w:ascii="宋体" w:hAnsi="宋体" w:cs="宋体"/>
      <w:b/>
      <w:bCs/>
      <w:kern w:val="36"/>
      <w:sz w:val="48"/>
      <w:szCs w:val="48"/>
    </w:rPr>
  </w:style>
  <w:style w:type="paragraph" w:customStyle="1" w:styleId="14">
    <w:name w:val="p"/>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1287FD-C24A-43BD-8DCE-E285808D1F1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557</Words>
  <Characters>3180</Characters>
  <Lines>26</Lines>
  <Paragraphs>7</Paragraphs>
  <TotalTime>2786</TotalTime>
  <ScaleCrop>false</ScaleCrop>
  <LinksUpToDate>false</LinksUpToDate>
  <CharactersWithSpaces>3730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2019-09-24T13:35:00Z</dcterms:created>
  <dc:creator>qi pan</dc:creator>
  <cp:lastModifiedBy>user</cp:lastModifiedBy>
  <dcterms:modified xsi:type="dcterms:W3CDTF">2019-12-04T02:27:26Z</dcterms:modified>
  <dc:title>上海国资</dc:title>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