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40</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23年</w:t>
      </w:r>
      <w:r>
        <w:rPr>
          <w:rFonts w:hint="eastAsia" w:ascii="楷体_GB2312" w:eastAsia="楷体_GB2312"/>
          <w:spacing w:val="-14"/>
          <w:sz w:val="28"/>
          <w:u w:val="single" w:color="FF0000"/>
          <w:lang w:val="en-US" w:eastAsia="zh-CN"/>
        </w:rPr>
        <w:t>12</w:t>
      </w:r>
      <w:bookmarkStart w:id="0" w:name="_GoBack"/>
      <w:bookmarkEnd w:id="0"/>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1</w:t>
      </w:r>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重要动态</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市国资委召开加快建设世界一流企业工作推进会</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近日，市国资委召开加快建设世界一流企业工作推进会，贯彻落实党中央、国务院、市委、市政府关于加快建设世界一流企业的决策部署，对世界一流企业建设工作进行再动员、再推动。</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会议指出，加快建设世界一流企业，是以习近平同志为核心的党中央着眼于党和国家事业发展需要而作出的重大战略决策。各单位必须提高政治站位、强化使命担当，把建设世界一流企业作为一项全局性、战略性、引领性的重大任务来抓。</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要进一步健全完善相关机制，全力推进各项任务落地落实。</w:t>
      </w:r>
      <w:r>
        <w:rPr>
          <w:rFonts w:hint="eastAsia" w:ascii="Times New Roman" w:hAnsi="Times New Roman" w:eastAsia="仿宋_GB2312" w:cs="宋体"/>
          <w:i w:val="0"/>
          <w:caps w:val="0"/>
          <w:color w:val="auto"/>
          <w:spacing w:val="0"/>
          <w:sz w:val="32"/>
          <w:szCs w:val="32"/>
          <w:shd w:val="clear"/>
          <w:lang w:val="en-US" w:eastAsia="zh-CN" w:bidi="ar"/>
        </w:rPr>
        <w:t>要完善工作机制，确保高效推进，用好协同推进的工作机制，对改革任务分年度设置里程碑式的阶段性成果。要建设评价体系，认真查找不足，市国资委研究形成一套符合上海国企实际、体现未来建设导向的评价体系，各企业集团要形成各自的特色评价体系。要精准定位差距，弥补短板弱项，通过业务板块对标、核心指标对标，找到与一流企业的差距和努力方向，制定切实管用的实施方案。要跟踪指导，打造示范标杆，市国资委将定期召开工作推进会，组织培训和工作研讨，搭建学习交流平台，提炼总结好经验好做法、好案例好典型。</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要聚焦重点，切实推进加快建设世界一流企业工作落地见效。</w:t>
      </w:r>
      <w:r>
        <w:rPr>
          <w:rFonts w:hint="eastAsia" w:ascii="Times New Roman" w:hAnsi="Times New Roman" w:eastAsia="仿宋_GB2312" w:cs="宋体"/>
          <w:i w:val="0"/>
          <w:caps w:val="0"/>
          <w:color w:val="auto"/>
          <w:spacing w:val="0"/>
          <w:sz w:val="32"/>
          <w:szCs w:val="32"/>
          <w:shd w:val="clear"/>
          <w:lang w:val="en-US" w:eastAsia="zh-CN" w:bidi="ar"/>
        </w:rPr>
        <w:t>要聚焦创新发展，打造一流企业创造力，加快科技创新，实施业务创新及商业模式创新，推动数字化智能化绿色化转型。要聚焦价值创造，提升一流企业竞争力，对照国务院国资委“一利五率”要求，实现“四高两低一控”，深入开展新一轮改革提升行动，服务好国家重大战略。要聚焦公司治理，激发一流企业内生动力，进一步做实做强董事会，落实董事会职权，推动ESG体系建设，培育一流企业家。要聚焦主责主业，凸显一流的资源整合能力，推动国有企业围绕重点产业和新赛道加大投资力度，努力做强做大龙头企业，全面推进存量土地盘活，推动国有企业内部业务整合。要坚持党的全面领导，确保正确政治方向，把加强党的领导融入深化国资国企改革发展、建设世界一流企业的全过程。（上海市国资委）</w:t>
      </w:r>
    </w:p>
    <w:p>
      <w:pPr>
        <w:pStyle w:val="2"/>
        <w:rPr>
          <w:rFonts w:hint="eastAsia"/>
          <w:lang w:val="en-US"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社会责任</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积极推进可持续发展</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多家上海国企入选2023年度上市公司ESG实践案例</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为进一步贯彻落实党的二十大精神，引导上市公司积极推进可持续发展工作，助力上市公司积极履行社会责任，中国上市公司协会发布2023年度上市公司ESG最佳实践案例和优秀实践案例。其中，中国太保、上海银行、上汽集团、上海建工的案例入选最佳实践案例，11家企业集团的20个案例入选优秀实践案例。</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中国太保</w:t>
      </w:r>
      <w:r>
        <w:rPr>
          <w:rFonts w:hint="eastAsia" w:ascii="Times New Roman" w:hAnsi="Times New Roman" w:eastAsia="仿宋_GB2312" w:cs="宋体"/>
          <w:i w:val="0"/>
          <w:caps w:val="0"/>
          <w:color w:val="auto"/>
          <w:spacing w:val="0"/>
          <w:sz w:val="32"/>
          <w:szCs w:val="32"/>
          <w:shd w:val="clear"/>
          <w:lang w:val="en-US" w:eastAsia="zh-CN" w:bidi="ar"/>
        </w:rPr>
        <w:t>积极探索ESG体系建设，为助力经济社会可持续发展贡献太保力量。中国太保积极践行新发展理念，以ESG工作体系建设为抓手，充分发挥保险业经济减震器和社会稳定器功能，助力经济社会可持续发展。加强顶层设计，完善管理体系。制定ESG专项规划，明确目标与路径，推动可持续发展理念融入公司价值观和经营实践。建立“董事会-管理层-执行层”完整ESG治理架构，健全制度机制保障。发挥专业优势，支持双碳战略。积极推动环境治理、清洁能源、气候变化、生态保护、碳市场建设等绿色保险产品创新，落地多个行业首单产品。支持基础设施绿色升级和绿色产业技术发展，绿色投资规模超1500亿元。履行社会责任，服务美好生活。深化太保特色乡村振兴长效机制，首创“防贫保”产品覆盖全国近1200个区县。积极开展普惠保险，医保合作项目服务1.6亿多参保人。</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上海银行</w:t>
      </w:r>
      <w:r>
        <w:rPr>
          <w:rFonts w:hint="eastAsia" w:ascii="Times New Roman" w:hAnsi="Times New Roman" w:eastAsia="仿宋_GB2312" w:cs="宋体"/>
          <w:i w:val="0"/>
          <w:caps w:val="0"/>
          <w:color w:val="auto"/>
          <w:spacing w:val="0"/>
          <w:sz w:val="32"/>
          <w:szCs w:val="32"/>
          <w:shd w:val="clear"/>
          <w:lang w:val="en-US" w:eastAsia="zh-CN" w:bidi="ar"/>
        </w:rPr>
        <w:t>积极探索碳普惠体系建设，全力实现“双碳”目标。上海银行自2021年11月发布行业首个双碳白皮书，立足绿色运营“四大行动”，形成绿色运营和绿色金融双循环。上海银行积极探索与上海市碳普惠体系互联互通，率先参与全市碳普惠平台积分消纳。2023年7月中旬，上海首个绿色出行碳普惠平台上线，上海银行上银美好生活APP同步接入，成为唯一参与积分消纳的金融机构。上线四个月，已实现125万碳积分兑换上银信用卡积分、借记卡S+黄星。在自身运营方面，上海银行深入践行绿色低碳发展理念，打造融合“智慧、人文、简约、自然、共享”的绿色网点，持续探索绿色网点发展新路径；持续推进张江零碳园区，建设能碳管理平台，打造园区减碳样本；上线碳积分APP，开展减碳跟踪和权益兑换，积极引导员工绿色办公、低碳生活。</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上汽集团</w:t>
      </w:r>
      <w:r>
        <w:rPr>
          <w:rFonts w:hint="eastAsia" w:ascii="Times New Roman" w:hAnsi="Times New Roman" w:eastAsia="仿宋_GB2312" w:cs="宋体"/>
          <w:i w:val="0"/>
          <w:caps w:val="0"/>
          <w:color w:val="auto"/>
          <w:spacing w:val="0"/>
          <w:sz w:val="32"/>
          <w:szCs w:val="32"/>
          <w:shd w:val="clear"/>
          <w:lang w:val="en-US" w:eastAsia="zh-CN" w:bidi="ar"/>
        </w:rPr>
        <w:t>引领绿色科技逐梦精彩出行。上汽集团坚定不移地贯彻“碳中和、碳达峰”国家战略，大力推动新能源汽车事业, 加快推进低碳生产模式，争做绿色发展领跑者、生态文明先行者。2022年，上汽集团实现新能源汽车销售107.3万辆，同比增长46.5%。加快发展新能源汽车和清洁环保技术，坚持“纯电、混动、燃料电池”三条技术路线全面推进，并对新一代锂电池、固态电池、IGBT和碳化硅电驱动模块等关键技术实现前瞻布局。加快推进低碳生产模式，积极推动产品全生命周期减碳工作，打造零碳汽车产业园区，带动产业链上下游加快绿色转型。倡导绿色移动出行，助力“随申行”平台打造上海首个优先为用户推荐绿色出行方式的APP。发展循环经济，基于电池的生命周期管理，探索全新“车电分离商业模式”。</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上海建工</w:t>
      </w:r>
      <w:r>
        <w:rPr>
          <w:rFonts w:hint="eastAsia" w:ascii="Times New Roman" w:hAnsi="Times New Roman" w:eastAsia="仿宋_GB2312" w:cs="宋体"/>
          <w:i w:val="0"/>
          <w:caps w:val="0"/>
          <w:color w:val="auto"/>
          <w:spacing w:val="0"/>
          <w:sz w:val="32"/>
          <w:szCs w:val="32"/>
          <w:shd w:val="clear"/>
          <w:lang w:val="en-US" w:eastAsia="zh-CN" w:bidi="ar"/>
        </w:rPr>
        <w:t>贯彻ESG理念，推动高质量可持续发展。上海建工发挥全产业链优势，将绿色化理念践行到项目的投资、策划、设计、建造、运维、拆除等全产业上下游环节。上海建工全产业链打造的长三角一体化绿色科技示范楼，集成应用绿色成熟技术，大楼外立面和楼顶安装高效的预制光伏板，146口地源井构成地源热泵系统，采用高效的建筑生态水循环系统，外立面开启幕墙保证室内自然通风，利用中庭导入阳光，地下车库用8个导光管系统引入自然光线减少照明能耗，开发了一套基于数字孪生的智慧运维平台等，追求建筑卓越性能，呈现一栋具有全球影响力的高标准零能耗绿色碳中和建筑。上海建工通过数字化转型推动建筑业低碳节能、安全管控、效率提升，通过开发、应用和提供绿色运维服务将绿色低碳实践从建筑施工期拓展到运营期，从而促进建筑全生命周期的可持续发展。（中国太保、上海银行、上汽集团、上海建工）</w:t>
      </w:r>
    </w:p>
    <w:p>
      <w:pPr>
        <w:widowControl w:val="0"/>
        <w:numPr>
          <w:ilvl w:val="0"/>
          <w:numId w:val="0"/>
        </w:numPr>
        <w:spacing w:after="156" w:afterLines="50"/>
        <w:ind w:leftChars="0" w:right="-101" w:rightChars="-42"/>
        <w:rPr>
          <w:rFonts w:ascii="Times New Roman" w:hAnsi="Times New Roman" w:eastAsia="仿宋_GB2312" w:cs="仿宋_GB2312"/>
          <w:color w:val="auto"/>
          <w:sz w:val="32"/>
          <w:szCs w:val="32"/>
          <w:shd w:val="clear" w:color="auto" w:fill="FFFFFF"/>
          <w:lang w:bidi="ar"/>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浦发银行打好金融服务组合拳</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为民营经济高质量发展注入新动能</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浦发银行始终坚持服务实体经济的初心与使命，主动对接民营企业实际金融需求。今年以来，浦发银行上海分行累计新发放公司贷款中，民营企业占比达到45%，民营企业贷款余额突破2000亿元。浦发银行正以实际行动稳定市场主体，助力民营企业发展壮大。</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强化信贷资金支持力度</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近年来，浦发银行上海分行不断加大对民营企业的信贷投放力度。对于先进制造业、战略性产业和产业链供应链自主可控的民营科技型企业，坚持强化中长期资金支持。</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推动制造业高质量发展</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分行持续加大制造业民营企业贷款投放，着力加强本市战略性新兴产业和先导产业金融服务支撑，全力支持上海打造具有国际竞争力的高端产业集群，努力打造高端制造业增长极，加快推动制造业高质量发展。</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突出差异化产品服务供给</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浦发银行在民营企业直接融资、并购重组等领域发挥服务优势，助力民营经济区域协同发展，引导民营企业坚持高质、高端、高效的产业协同发展方向。浦发银行还注重优化产品配套，支持民营企业通过参与国有企业改制重组、合资经营和混合所有制改革，促进行业上下游和企业内部生产要素有效整合。推出覆盖民营科创企业成长全程的金融服务方案，特别惠及处于初创和成长期的科技小微企业，并运用科创及普惠特色产品，助力民营小微企业发展。</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多管齐下优化营商环境</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为进一步提升企业开户服务的便捷性，助力优化营商环境更好服务市场主体，2023年浦发银行上海分行优化推出全方位、专业化、一站式的“浦银开户”服务。浦发银行在自身效率提升方面不断挖潜，牢固树立“让开户最多跑一次”的服务思维，充分聚焦企业实际需求。重点在服务模式优化、开户流程整合、关键节点控制、用户反馈体验、网点环境改造等影响企业开户体验的诸多环节上不断优化升级，着力提高企业客户的便捷性、智能化体验。</w:t>
      </w:r>
    </w:p>
    <w:p>
      <w:pPr>
        <w:widowControl w:val="0"/>
        <w:numPr>
          <w:ilvl w:val="255"/>
          <w:numId w:val="0"/>
        </w:numPr>
        <w:ind w:firstLine="640" w:firstLineChars="200"/>
        <w:jc w:val="both"/>
        <w:rPr>
          <w:rFonts w:hint="default"/>
          <w:lang w:val="en-US" w:eastAsia="zh-CN"/>
        </w:rPr>
      </w:pPr>
      <w:r>
        <w:rPr>
          <w:rFonts w:hint="default" w:ascii="Times New Roman" w:hAnsi="Times New Roman" w:eastAsia="仿宋_GB2312" w:cs="宋体"/>
          <w:i w:val="0"/>
          <w:caps w:val="0"/>
          <w:color w:val="auto"/>
          <w:spacing w:val="0"/>
          <w:sz w:val="32"/>
          <w:szCs w:val="32"/>
          <w:shd w:val="clear"/>
          <w:lang w:val="en-US" w:eastAsia="zh-CN" w:bidi="ar"/>
        </w:rPr>
        <w:t>此外，浦发银行上海分行主动承担惠企利民责任担当，扎实做好支付手续费减费让利工作。截至2023年10月末，已实现对近万小微企业、个体工商户的减费让利。累计降费约9300万元，真正做到“让利于民”。</w:t>
      </w:r>
      <w:r>
        <w:rPr>
          <w:rFonts w:hint="eastAsia" w:ascii="Times New Roman" w:hAnsi="Times New Roman" w:eastAsia="仿宋_GB2312" w:cs="宋体"/>
          <w:i w:val="0"/>
          <w:caps w:val="0"/>
          <w:color w:val="auto"/>
          <w:spacing w:val="0"/>
          <w:sz w:val="32"/>
          <w:szCs w:val="32"/>
          <w:shd w:val="clear"/>
          <w:lang w:val="en-US" w:eastAsia="zh-CN" w:bidi="ar"/>
        </w:rPr>
        <w:t>（浦发银行）</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“浦江数链”区块链基础设施体系上线</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数据集团助力城市数字化转型</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浦江数链”区块链基础设施工程，是上海推动区块链产业创新发展，赋能城市功能提升，抢占未来发展主动权的重要举措。“浦江数链”将按照“1+1+1+X”总体框架开展建设，涵盖自主技术打造的算力平台设施，公共基础服务平台，以及政务区块链应用系统和X个行业级场景应用，承载本市政务链应用，为多主体、跨行业应用和公共服务提供快速部署能力。通过集约化、均衡化建设，带动形成平台跨域贯通、多链异构互通、应用即时上链、生态协同发展的“链联盟”基础设施布局。</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为积极参与上海城市数字化转型，加快推进“浦江数链”区块链基础设施体系建设，近日，由市经济信息化委主办，数据集团及下属企业浦江数链公司承办的“浦江数链”区块链基础设施体系上线仪式举行。</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仪式上介绍了本市“浦江数链”工程总体推进情况，将通过打造城市级区块链重大平台，加快推动形成“链联盟”基础设施布局，塑造上海区块链产业发展的竞争新优势，支撑上海城市数字化转型战略目标。活动期间，数据集团和国家区块链技术创新中心就深化本市区块链及未来互联网技术应用签署战略合作协议。浦江数链公司与上海数交所、亿通国际、TASConnect等单位签署区块链场景应用框架合作协议，浦江数链公司联合上海交通大学、中国信通院工物所、IEEE BCTC、零数科技、信医科技等行业代表共同发起成立“浦江数链”产业发展联盟。</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浦江数链”的建设是数据集团进一步聚焦主责主业、赋能数据要素流通体系建设和城市数字化转型的重要举措。“浦江数链”正着力构建超大规模的全国产城市区块链数字基础底座，进一步支撑本市数据畅通体系的构建，助力 Web3 和元宇宙等未来互联网和本市数字经济蓬勃发展。（数据集团）</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隧道股份承建的沪苏天然气联络线工程</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上海与江苏段顺利贯通</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近日，由隧道股份上海能建承建的市重大工程建设项目——上海市天然气主干管网沪苏天然气联络线工程顺利完成与江苏段的镶接工作，标志着上海段与江苏段管线全线贯通。</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 沪苏联络线工程上海段总长约8.6公里，管道设计压力6.0MPa，在上海与江苏省交界处上海市界线内设DN800阀井1座；香花桥清管站1座（约2221平方米），设计压力6.3MPa，设计规模 30 万立方米/小时。自2022年7月开工以来，隧道股份围绕目标要求，科学部署、精心组织、确保施工高效有序推进。此次沪苏省界镶接作业实施前，项目部加强与江苏段施工项目部的沟通交流，严格按照规程精心操作，严控镶接作业的安全与质量，经过12小时奋战，顺利完成4道镶接焊口，焊接一次合格率达到100%，保证了项目目标的如期实现。</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 该项目实现了上海、江苏两地的天然气主干管网互联互通，是贯彻落实长三角一体化发展的国家战略、提升地区天然气管网输配能力、保障地区天然气上级气源可靠供应以及区域天然气管网联动的有力举措，为构建了长三角多元供气新格局，经济社会发展提供新动能。（隧道股份）</w:t>
      </w:r>
    </w:p>
    <w:p>
      <w:pPr>
        <w:widowControl w:val="0"/>
        <w:numPr>
          <w:ilvl w:val="255"/>
          <w:numId w:val="0"/>
        </w:numPr>
        <w:ind w:firstLine="0" w:firstLineChars="0"/>
        <w:jc w:val="both"/>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上海建工“搭积木”建设亚洲最大污水处理厂</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由上海建工二建集团承建的竹园污水处理厂四期工程1.5标项目顺利通过竣工验收。四期工程建成后，整个竹园污水处理厂的总处理规模将超越白龙港污水处理厂，达到340万立方米/日，服务约600万人口以及335平方公里面积，成为一座国内领先、国际一流的现代化污水处理水厂，总处理规模位列亚洲第一、世界前五。</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竹园污水处理厂四期工程是全国首个采用大规模整体预制装配式技术施工的水务项目，二建集团承建的1.5标段中预制构件量为1.8万立方米。由于单个构件重量普遍达到30吨，二建集团从构件轻量化、节点形式简单化、施工便捷化出发，把原设计实心预制墙及预制板深化研发为新型“预制双面叠合墙+预制倒T型叠合板”的SPDW结构体系，节点处采用UHPC超高性能混凝土连接，解决了大型地下污水处理厂大尺寸预制构件轻量化问题，有效推进了装配式技术在大型地下污水处理厂的工业化、绿色化应用。</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二建集团还联合上海理工大学的专家团队在现场对此体系进行1:1足尺堆载试验和水平推力试验，验证了结构整体刚度和强度。这也是SPDW体系的创新研发及在超大污水处理厂构筑物中的顺利运用，该项技术也获得了上海建工科技进步一等奖。（上海建工）</w:t>
      </w:r>
    </w:p>
    <w:p>
      <w:pPr>
        <w:pStyle w:val="2"/>
        <w:rPr>
          <w:rFonts w:hint="eastAsia" w:ascii="Times New Roman" w:hAnsi="Times New Roman" w:eastAsia="仿宋_GB2312" w:cs="宋体"/>
          <w:i w:val="0"/>
          <w:caps w:val="0"/>
          <w:color w:val="auto"/>
          <w:spacing w:val="0"/>
          <w:sz w:val="32"/>
          <w:szCs w:val="32"/>
          <w:shd w:val="clear"/>
          <w:lang w:eastAsia="zh-CN" w:bidi="ar"/>
        </w:rPr>
      </w:pPr>
    </w:p>
    <w:p>
      <w:pPr>
        <w:pStyle w:val="3"/>
        <w:rPr>
          <w:rFonts w:hint="eastAsia"/>
          <w:lang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type Corsiva">
    <w:altName w:val="DejaVu Math TeX Gyre"/>
    <w:panose1 w:val="03010101010201010101"/>
    <w:charset w:val="00"/>
    <w:family w:val="script"/>
    <w:pitch w:val="default"/>
    <w:sig w:usb0="00000000" w:usb1="00000000" w:usb2="00000000" w:usb3="00000000" w:csb0="2000009F" w:csb1="DFD70000"/>
  </w:font>
  <w:font w:name="DejaVu Math TeX Gyre">
    <w:panose1 w:val="02000503000000000000"/>
    <w:charset w:val="00"/>
    <w:family w:val="auto"/>
    <w:pitch w:val="default"/>
    <w:sig w:usb0="A10000EF" w:usb1="4201F9EE" w:usb2="02000000" w:usb3="00000000" w:csb0="60000193" w:csb1="0DD40000"/>
  </w:font>
  <w:font w:name="方正舒体">
    <w:altName w:val="仿宋字体"/>
    <w:panose1 w:val="02010601030101010101"/>
    <w:charset w:val="86"/>
    <w:family w:val="auto"/>
    <w:pitch w:val="default"/>
    <w:sig w:usb0="00000000" w:usb1="00000000" w:usb2="00000000" w:usb3="00000000" w:csb0="00040000" w:csb1="00000000"/>
  </w:font>
  <w:font w:name="仿宋字体">
    <w:panose1 w:val="02010600040101010101"/>
    <w:charset w:val="86"/>
    <w:family w:val="auto"/>
    <w:pitch w:val="default"/>
    <w:sig w:usb0="00000287" w:usb1="080F0000" w:usb2="00000000" w:usb3="00000000" w:csb0="0004009F" w:csb1="DFD70000"/>
  </w:font>
  <w:font w:name="华文行楷">
    <w:altName w:val="汉仪行楷简"/>
    <w:panose1 w:val="02010800040101010101"/>
    <w:charset w:val="86"/>
    <w:family w:val="auto"/>
    <w:pitch w:val="default"/>
    <w:sig w:usb0="00000000" w:usb1="00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A3E28"/>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8C48F9"/>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DD2836"/>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918C"/>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EA1F8"/>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2</TotalTime>
  <ScaleCrop>false</ScaleCrop>
  <LinksUpToDate>false</LinksUpToDate>
  <CharactersWithSpaces>4967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2023-01-02T17:47:00Z</dcterms:created>
  <dc:creator>user</dc:creator>
  <cp:lastModifiedBy>user</cp:lastModifiedBy>
  <cp:lastPrinted>2023-11-29T16:42:00Z</cp:lastPrinted>
  <dcterms:modified xsi:type="dcterms:W3CDTF">2023-12-01T15:25:01Z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B94DDB4F35887E1F29F7666549D3D75C</vt:lpwstr>
  </property>
</Properties>
</file>