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43</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12</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28</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可漫游、可互动、可交易，上海银行元宇宙银行发布</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近日，上海银行正式发布了市场首家“可漫游、可互动、可交易”的元宇宙银行。</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元宇宙银行服务无界、智能、有温度。</w:t>
      </w:r>
      <w:r>
        <w:rPr>
          <w:rFonts w:hint="eastAsia" w:ascii="Times New Roman" w:hAnsi="Times New Roman" w:eastAsia="仿宋_GB2312" w:cs="宋体"/>
          <w:i w:val="0"/>
          <w:caps w:val="0"/>
          <w:color w:val="auto"/>
          <w:spacing w:val="0"/>
          <w:sz w:val="32"/>
          <w:szCs w:val="32"/>
          <w:shd w:val="clear"/>
          <w:lang w:val="en-US" w:eastAsia="zh-CN" w:bidi="ar"/>
        </w:rPr>
        <w:t>随着Z世代跨出校门步入社会，年轻人的消费呈现出线上为主、内容多元、追求沉浸的特征，希望能够获得更好的个性体验、情感认同、社交满足和隐私保护，于金融而言，更注重金融服务的无界、智能和有温度的情感联系。</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可漫游、可互动、可交易。</w:t>
      </w:r>
      <w:r>
        <w:rPr>
          <w:rFonts w:hint="eastAsia" w:ascii="Times New Roman" w:hAnsi="Times New Roman" w:eastAsia="仿宋_GB2312" w:cs="宋体"/>
          <w:i w:val="0"/>
          <w:caps w:val="0"/>
          <w:color w:val="auto"/>
          <w:spacing w:val="0"/>
          <w:sz w:val="32"/>
          <w:szCs w:val="32"/>
          <w:shd w:val="clear"/>
          <w:lang w:val="en-US" w:eastAsia="zh-CN" w:bidi="ar"/>
        </w:rPr>
        <w:t>上海银行借助元宇宙、区块链及AIGC技术，以全新的虚拟数字空间为载体，以“数实融合、开放互联”的理念研发完成全新的元宇宙银行，最大特点是“可漫游、可互动、可交易”，希望能够为未来银行做出有意义的探索。</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“元宇宙+产业”融合范例。</w:t>
      </w:r>
      <w:r>
        <w:rPr>
          <w:rFonts w:hint="eastAsia" w:ascii="Times New Roman" w:hAnsi="Times New Roman" w:eastAsia="仿宋_GB2312" w:cs="宋体"/>
          <w:i w:val="0"/>
          <w:caps w:val="0"/>
          <w:color w:val="auto"/>
          <w:spacing w:val="0"/>
          <w:sz w:val="32"/>
          <w:szCs w:val="32"/>
          <w:shd w:val="clear"/>
          <w:lang w:val="en-US" w:eastAsia="zh-CN" w:bidi="ar"/>
        </w:rPr>
        <w:t>智己汽车作为上海银行元宇宙银行首家行业合作伙伴，并作为汽车馆首家入驻品牌，将为用户提供一站式元宇宙购车新体验，携手上海银行共同开创上海元宇宙行业融合新时代。双方在元宇宙领域落地数实生态融合也为“元宇宙+产业”融合提供范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未来，上海银行将继续秉承“数实融合 开放互联”的理念，不断创新、完善产品与服务，努力打造更拟真、更沉浸、更智能的元宇宙银行，同时融合更多生态，为客户提供更紧密、更丰富、更包容的元宇宙银行。（上海银行）</w:t>
      </w:r>
    </w:p>
    <w:p>
      <w:pPr>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在新片区打造新高地</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临港集团助力新兴金融产业集聚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乘着扩大金融服务业对外开放的东风，上海自贸试验区临港新片区已制定《临港新片区加快发展新兴金融业行动方案（2022—2025年）》，力争到2025年将滴水湖金融湾打造为新兴金融集聚新高地。临港新片区也将坚持以新兴金融为核心，进一步完善金融科技创新，推动金融高质量发展，助力临港新片区高水平对外开放。</w:t>
      </w:r>
    </w:p>
    <w:p>
      <w:pPr>
        <w:widowControl/>
        <w:numPr>
          <w:ilvl w:val="-1"/>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跨境金融、数字金融蓬勃发展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临港集团与临港新片区揭牌成立后首批设立的金融机构之一的中国银行上海市分行聚焦新兴金融业务，成立“新片区跨境金融联合工作室”，为临港新片区高质量发展注入源源不断的金融力量。中国银行上海市分行还与临港跨境数科公司成立“跨境金融数据创新应用联合实验室”。</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纵览临港新片区新兴金融业发展历程，跨境金融、数字金融成为最大亮点。以跨境金融为例，近年来，临港新片区推动国际金融资产交易平台落地，加快临港新片区国际再保险功能区的进展。未来，临港新片区将继续推进跨境贸易的投资高水平政策，丰富资产跨境转让业态，持续深化支持合格境外有限合伙人（QFLP）、合格境内有限合伙人（QDLP）试点，开展探索适应跨境贸易投资发展的税收政策。</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启动临港新片区股权投资集聚区</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日前，由临港集团主办的滴水湖新兴金融大会上，“中国（上海）自由贸易试验区临港新片区股权投资集聚区”正式启动。集聚区将以滴水湖金融湾为物理载体，充分发挥统筹在岸与离岸业务、创新金融发展的重要功能，打造继外滩金融集聚带、陆家嘴金融城之后全市金融服务业“第三极”，在股权投资领域积极探索，坚定不移当好排头兵和先行者。</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集聚区启动后，临港集团继续按照市委、市政府部署，以服务实体经济、赋能科技创新、前沿产业为导向，坚持投早、投小、投硬科技的风向标，打造基金谱系，兼顾孕育期、种子期、初创期、成长期、成熟期等不同发展阶段，同时“更大力度、更深层次”持续细化、优化“募、投、管、退”全流程、各环节政策，吸引更多投资机构落户上海、在滴水湖金融湾长期发展。</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打造上海金融服务业“第三极”</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在上海的金融业发展版图中，临港新片区滴水湖金融湾金融业作为统筹在岸与离岸业务、创新金融发展的重要功能承载地，被赋予打造上海金融业“第三极”的重任，成为继外滩金融集聚带、陆家嘴金融城之后的又一金融业高地，也将与这两处区域形成功能互补、协同发展格局。</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目前，滴水湖金融湾正加快建设，首发项目已进入全速建设期，完成结构封顶52万平方米，地标建筑“荣耀之环”钢结构架起，城市天际线初具形态，将于2024年全面交付使用。目前已有太平洋保险、工商银行等8家头部机构签约定制办公楼宇。</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随着华安基金、汇华理财、汇丰金融科技等公司和机构落户，让滴水湖金融湾打造新兴金融中心进一步提速。临港新片区将继续探索践行新兴金融发展的新模式、新路径，助力上海国际金融中心建设。（临港集团）</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驰援灾区，上海国资国企抗震救灾在行动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近日，甘肃省临夏回族自治州积石山县发生6.2级地震，中国太保、上海电气、上实集团紧急行动，积极参与抗震救灾相关工作。</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中国太保</w:t>
      </w:r>
      <w:r>
        <w:rPr>
          <w:rFonts w:hint="eastAsia" w:ascii="Times New Roman" w:hAnsi="Times New Roman" w:eastAsia="仿宋_GB2312" w:cs="宋体"/>
          <w:i w:val="0"/>
          <w:caps w:val="0"/>
          <w:color w:val="auto"/>
          <w:spacing w:val="0"/>
          <w:sz w:val="32"/>
          <w:szCs w:val="32"/>
          <w:shd w:val="clear"/>
          <w:lang w:eastAsia="zh-CN" w:bidi="ar"/>
        </w:rPr>
        <w:t>产寿联动、总分协同，第一时间启动重大灾害事故应急响应机制，甘肃、青海当地机构连夜成立大灾应急小组，积极核查各业务渠道信息，在核查确保职场、人员安全的同时，重点关注人身险、车险、家财险损失及客户报案情况，理赔一线人员立即进入应急响应，全力以赴提供各项应急处置工作，最大程度保障人民群众生命财产安全。中国太保甘肃、青海大灾突击队赶赴受灾区域，开通理赔绿色通道，理赔人员24小时待命，产寿险当地分支机构快速安排设立现场理赔报案及救助点，为保险理赔及救助提供便利。</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上海电气</w:t>
      </w:r>
      <w:r>
        <w:rPr>
          <w:rFonts w:hint="eastAsia" w:ascii="Times New Roman" w:hAnsi="Times New Roman" w:eastAsia="仿宋_GB2312" w:cs="宋体"/>
          <w:i w:val="0"/>
          <w:caps w:val="0"/>
          <w:color w:val="auto"/>
          <w:spacing w:val="0"/>
          <w:sz w:val="32"/>
          <w:szCs w:val="32"/>
          <w:shd w:val="clear"/>
          <w:lang w:eastAsia="zh-CN" w:bidi="ar"/>
        </w:rPr>
        <w:t>第一时间组织在甘相关单位启动应急预案，全力以赴配合开展抗震救灾工作，发挥在甘当地项目企业战斗堡垒作用，迅速筹集救援物资。上海电气密切与临夏州政府部门沟通，关注整个震后救援过程中的动态和需求，安排在甘人员快速寻找救援物资供应商，采购灾区急需的抗震救援物资，包括防寒帐篷、军大衣、棉被、棉鞋、手电筒、矿泉水和方便面等救援物资，紧急安排运输至灾区现场。同时，上海电气在甘人员连夜开车奔赴灾区，为受灾人员送上急需物资，并实地了解灾区救援需求，做好后续抗震救灾准备。</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上实集团</w:t>
      </w:r>
      <w:r>
        <w:rPr>
          <w:rFonts w:hint="eastAsia" w:ascii="Times New Roman" w:hAnsi="Times New Roman" w:eastAsia="仿宋_GB2312" w:cs="宋体"/>
          <w:i w:val="0"/>
          <w:caps w:val="0"/>
          <w:color w:val="auto"/>
          <w:spacing w:val="0"/>
          <w:sz w:val="32"/>
          <w:szCs w:val="32"/>
          <w:shd w:val="clear"/>
          <w:lang w:eastAsia="zh-CN" w:bidi="ar"/>
        </w:rPr>
        <w:t>旗下上药控股上药科园甘肃公司多方沟通协调、积极调配救援物资，第一时间筹集灾民急需药品与医疗器械8850盒，食品500箱。其中，药品类别包括创伤、消炎、感冒类等，医疗器械包括碘伏消毒液、医用棉签、脱脂棉纱布等，食品包括方便面、火腿肠、面包、瓶装饮用水等。上海医药将持续关注灾情后续进展，做好各类应急医药物资的储备与供应，驰援受灾地区，帮助灾民渡过难关。（中国太保、上海电气、上实集团）</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“大圆桶”带来新速度</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上港集团小洋山北作业区高速推进施工</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上港集团小洋山北作业区项目的工作船码头工程近期迎来“大家伙”——千吨桶式基础结构进入有序安装阶段，目前已完成总数量近三分之一。该码头采用“砂桩地基加固+新型桶式基础”的新工艺，是</w:t>
      </w:r>
      <w:r>
        <w:rPr>
          <w:rFonts w:hint="eastAsia" w:ascii="Times New Roman" w:hAnsi="Times New Roman" w:eastAsia="仿宋_GB2312" w:cs="宋体"/>
          <w:b w:val="0"/>
          <w:bCs w:val="0"/>
          <w:i w:val="0"/>
          <w:caps w:val="0"/>
          <w:color w:val="auto"/>
          <w:spacing w:val="0"/>
          <w:sz w:val="32"/>
          <w:szCs w:val="32"/>
          <w:shd w:val="clear"/>
          <w:lang w:eastAsia="zh-CN" w:bidi="ar"/>
        </w:rPr>
        <w:t>国内首次</w:t>
      </w:r>
      <w:r>
        <w:rPr>
          <w:rFonts w:hint="eastAsia" w:ascii="Times New Roman" w:hAnsi="Times New Roman" w:eastAsia="仿宋_GB2312" w:cs="宋体"/>
          <w:i w:val="0"/>
          <w:caps w:val="0"/>
          <w:color w:val="auto"/>
          <w:spacing w:val="0"/>
          <w:sz w:val="32"/>
          <w:szCs w:val="32"/>
          <w:shd w:val="clear"/>
          <w:lang w:eastAsia="zh-CN" w:bidi="ar"/>
        </w:rPr>
        <w:t>将桶式基础结构应用于外海重力式码头，同时也推动工作船码头施工进入“高速推进”阶段。工作船码头建成后可供海事、引航、拖轮、船舶污水收集船等辅助船舶靠泊作业，为小洋山北作业区开发提供重要的配套服务。</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小洋山北作业区项目自开工建设以来，工程建设已取得阶段性成果，项目工作船码头工程、接岸结构工程A标、西1区陆域形成及深层地基处理工程正顺利推进。</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备受瞩目的桶式基础结构安装，受小洋山北侧施工海域水文气候条件较差的影响，存在下沉稳定难等难点。为此，集团工程指挥部建设团队成立专项课题组，组织带领参建团队在深水港工程结构国家重点试验室开展工艺模型试验以及工程试验、后方回填试验，而后进行了防波堤、接岸结构和工作船码头的模拟工况条件下的应用场景实验，在台风寒潮等模拟场景中均实现了预期的功能及建设期望。同时，工程指挥部组织参建团队引进专业气象服务单位，保障并掌握桶式基础安装实际工况下的实时水文气象条件；提前两周对施工区域进行海床扫测，确保桶式基础半潜驳下潜位置、工程实施行进路线及安装位置的水深符合各项技术要求。</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为了把高达20多米、重达数千吨的“大圆桶”从预制场地运至码头，参建单位引进了自行式模块运输车。不同于以往常用的气囊运输方式，模块车联排运输不仅转向更为灵活，运输也更安全。为顺利完成“大圆桶”沉放，工程指挥部多次组织设计、监理和总包项目部进行预制场专项考察，从“大圆桶”模板支设、混凝土分层浇筑和桶式基础结构出运等多个角度进行技术考察，充分听取并讨论18项安装流程，并组织参建团队将安装流程细化至29项。</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此次“大圆桶”结构的实施是桶式基础结构在外海码头和驳岸结构的首次应用，对桶式基础结构典型性施工推广应用具有重要意义，形成了一批具有创新性、前瞻性的科技成果，填补了恶劣作业条件下海域安装新型桶式基础结构的空白，将安装作业施工从理论验证转变为实际可行，为项目进度推进打下了坚实的基础。</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小洋山北作业区作为上海国际航运中心洋山国际集装箱枢纽港区重要组成部分，打造长三角世界级港口群的重点项目，建成后将推进小洋山区域合作发展和综合开发，进一步发挥长三角世界级港口群江海联运整体优势，合力提升上海国际航运中心功能地位和我国国际航运竞争力。（上港集团）</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全球首座“疯狂动物城”在上海迪士尼度假区开幕</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近日，全球首座“疯狂动物城”在上海迪士尼度假区开幕。</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疯狂动物城是一个以开创性的全新方式打造的、精彩纷呈的新园区。申迪集团与所有创意、设计、施工和建设团队，历时数年呈现如此美轮美奂的新片区、新作品，未来将为打造精彩成功世界一流的主题乐园继续努力，为助力上海打造具有国际影响力的世界著名旅游城市做出新的贡献。</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疯狂动物城”是上海迪士尼乐园自2016年盛大开幕以来的第二个主要扩建项目，同时也是上海迪士尼乐园的第八大主题园区。来到疯狂动物城的游客将逐一探索这些全新体验，感受迪士尼标志性的故事讲述、经久不衰的创意创想与尖端前沿的技术创新。新园区拥有一大全新景点、极富创意的娱乐演出和一系列丰富的商品和餐饮体验，将吸引游客不断重游上海迪士尼乐园。（申迪集团）</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全球最大室内滑雪场建设进入收尾阶段</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上海建工承建的耀雪冰雪世界计划明年开业</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冬日来临，位于临港新片区</w:t>
      </w:r>
      <w:r>
        <w:rPr>
          <w:rFonts w:hint="eastAsia" w:ascii="Times New Roman" w:hAnsi="Times New Roman" w:eastAsia="仿宋_GB2312" w:cs="宋体"/>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由上海建工承建的耀雪冰雪世界项目却是一派热火朝天的建设景象。目前，项目建设已进入收尾阶段，计划明年开业。</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全球最大室内滑雪场</w:t>
      </w:r>
      <w:r>
        <w:rPr>
          <w:rFonts w:hint="eastAsia" w:ascii="Times New Roman" w:hAnsi="Times New Roman" w:eastAsia="仿宋_GB2312" w:cs="宋体"/>
          <w:b/>
          <w:bCs/>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耀雪冰雪世界总建筑面积30.10万平方米，主要包含一座9万平方米超大滑雪场、一座2.8万平方米室内外嬉水乐园、一栋18层精品酒店和一栋15层度假酒店，建成后将成为全球最大室内滑雪主题功能性项目。耀雪冰雪世界项目是临港新片区挂牌成立后，第一个开工的重大工程，由上海建工集团承建，总承包部组织实施，五建集团、机施集团、安装集团、装饰集团、建材科技集团等单位参与建设。滑雪场内部是最高达80米的超大空间，以阿尔卑斯山为设计主题，设有高级、中级、低级3根滑道，此外，还有超过25个主题嬉雪娱乐项目。</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主体结构复杂，存在大量异形构造</w:t>
      </w:r>
      <w:r>
        <w:rPr>
          <w:rFonts w:hint="eastAsia" w:ascii="Times New Roman" w:hAnsi="Times New Roman" w:eastAsia="仿宋_GB2312" w:cs="宋体"/>
          <w:b/>
          <w:bCs/>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滑雪场内共3条雪道，结构分布呈阶梯状，滑道面呈双曲面扭转造型，滑道区域楼承板根据建筑外形，分为直线坡道段及双曲面坡道段。技术团队通过滑道双曲面区域桁架板分块单元化，使滑道实现以直代曲的效果，呈现设计所需的双曲面造型。</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滑雪场屋盖大型网架结构提升</w:t>
      </w:r>
      <w:r>
        <w:rPr>
          <w:rFonts w:hint="eastAsia" w:ascii="Times New Roman" w:hAnsi="Times New Roman" w:eastAsia="仿宋_GB2312" w:cs="宋体"/>
          <w:b/>
          <w:bCs/>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滑雪场屋盖采用钢网架形式，最长边达328米，投影面积达39200平方米，网架标高自+29.000米渐变至74.050米，钢网架重达7000吨。项目团队制定了把整个网架划分为5块、分别进行安装的方案。每个分块网架的提升都用计算机多参数自动同步控制，实现滑雪场屋盖网架高空连续提升，就位前采用点动控制功能，对每个提升点姿态进行精调。</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保温效果要求高、工艺工况复杂</w:t>
      </w:r>
      <w:r>
        <w:rPr>
          <w:rFonts w:hint="eastAsia" w:ascii="Times New Roman" w:hAnsi="Times New Roman" w:eastAsia="仿宋_GB2312" w:cs="宋体"/>
          <w:b/>
          <w:bCs/>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为确保滑雪场内部超大空间能够常年维持零下3摄氏度至零上5摄氏度的室内温度，项目团队在项目初期对工程的保温形式及材料选用进行了分析对比，最终选择了硬泡聚氨酯无空腔复合保温体系作为墙体保温体系，并通过保温样板房的建造、检测及整改，使相关参建单位进一步了解保温材料的选用以及细部节点的处理等。项目团队则根据现场施工情况，不断完善优化保温设计方案，加强对每道工序的质量把控。（上海建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9</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2023-01-03T01:47:00Z</dcterms:created>
  <dc:creator>user</dc:creator>
  <cp:lastModifiedBy>WPS_1622794468</cp:lastModifiedBy>
  <cp:lastPrinted>2023-12-27T01:25:00Z</cp:lastPrinted>
  <dcterms:modified xsi:type="dcterms:W3CDTF">2023-12-29T01:58:13Z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83CD69A17D31555E9D6B89652A9B5D5A</vt:lpwstr>
  </property>
</Properties>
</file>