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监事会年度监督评价报告提纲</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宋体" w:cs="Times New Roman"/>
          <w:sz w:val="36"/>
          <w:szCs w:val="36"/>
        </w:rPr>
      </w:pPr>
      <w:r>
        <w:rPr>
          <w:rFonts w:hint="default" w:ascii="Times New Roman" w:hAnsi="Times New Roman" w:eastAsia="宋体" w:cs="Times New Roman"/>
          <w:b/>
          <w:bCs/>
          <w:sz w:val="32"/>
          <w:szCs w:val="32"/>
        </w:rPr>
        <w:t>第一部分 总体监督评价意见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楷体" w:cs="Times New Roman"/>
          <w:sz w:val="32"/>
          <w:szCs w:val="20"/>
        </w:rPr>
      </w:pPr>
      <w:r>
        <w:rPr>
          <w:rFonts w:hint="default" w:ascii="Times New Roman" w:hAnsi="Times New Roman" w:eastAsia="楷体" w:cs="Times New Roman"/>
          <w:sz w:val="32"/>
          <w:szCs w:val="20"/>
        </w:rPr>
        <w:t>（1000字以内，简要概述）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楷体" w:cs="Times New Roman"/>
          <w:sz w:val="32"/>
          <w:szCs w:val="2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楷体" w:cs="Times New Roman"/>
          <w:sz w:val="32"/>
        </w:rPr>
      </w:pPr>
      <w:r>
        <w:rPr>
          <w:rFonts w:hint="default" w:ascii="Times New Roman" w:hAnsi="Times New Roman" w:eastAsia="仿宋" w:cs="Times New Roman"/>
          <w:b/>
          <w:sz w:val="32"/>
        </w:rPr>
        <w:t>（一）企业运行总体情况</w:t>
      </w:r>
      <w:r>
        <w:rPr>
          <w:rFonts w:hint="default" w:ascii="Times New Roman" w:hAnsi="Times New Roman" w:eastAsia="楷体" w:cs="Times New Roman"/>
          <w:sz w:val="32"/>
        </w:rPr>
        <w:t>（所有类型）</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企业实现任期战略规划、年度预算和计划的总体情况，企业与国资委签订的任期目标责任书所提出的经营目标完成情况，对照实际完成情况与年度目标的主要差距和原因分析。</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楷体" w:cs="Times New Roman"/>
          <w:sz w:val="32"/>
        </w:rPr>
      </w:pPr>
      <w:r>
        <w:rPr>
          <w:rFonts w:hint="default" w:ascii="Times New Roman" w:hAnsi="Times New Roman" w:eastAsia="仿宋" w:cs="Times New Roman"/>
          <w:b/>
          <w:sz w:val="32"/>
        </w:rPr>
        <w:t>（二）功能任务完成情况</w:t>
      </w:r>
      <w:r>
        <w:rPr>
          <w:rFonts w:hint="default" w:ascii="Times New Roman" w:hAnsi="Times New Roman" w:eastAsia="楷体" w:cs="Times New Roman"/>
          <w:sz w:val="32"/>
        </w:rPr>
        <w:t>（功能保障类）</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承担的政府重大项目是否按节点完成，未按计划完成的主要原因，承担社会责任的履行情况，社会满意度情况。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楷体" w:cs="Times New Roman"/>
          <w:sz w:val="32"/>
        </w:rPr>
      </w:pPr>
      <w:r>
        <w:rPr>
          <w:rFonts w:hint="default" w:ascii="Times New Roman" w:hAnsi="Times New Roman" w:eastAsia="仿宋" w:cs="Times New Roman"/>
          <w:b/>
          <w:sz w:val="32"/>
        </w:rPr>
        <w:t>（三）合法合规情况</w:t>
      </w:r>
      <w:r>
        <w:rPr>
          <w:rFonts w:hint="default" w:ascii="Times New Roman" w:hAnsi="Times New Roman" w:eastAsia="楷体" w:cs="Times New Roman"/>
          <w:sz w:val="32"/>
        </w:rPr>
        <w:t>（所有类型）</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包括董事会组成情况，会议召开频次情况，董事履职情况（参加会议与发表意见等），董事会制度建设情况等。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仿宋" w:cs="Times New Roman"/>
          <w:b/>
          <w:sz w:val="32"/>
        </w:rPr>
      </w:pPr>
      <w:r>
        <w:rPr>
          <w:rFonts w:hint="default" w:ascii="Times New Roman" w:hAnsi="Times New Roman" w:eastAsia="仿宋" w:cs="Times New Roman"/>
          <w:b/>
          <w:sz w:val="32"/>
        </w:rPr>
        <w:t>（四）主要问题及风险</w:t>
      </w:r>
      <w:r>
        <w:rPr>
          <w:rFonts w:hint="default" w:ascii="Times New Roman" w:hAnsi="Times New Roman" w:eastAsia="楷体" w:cs="Times New Roman"/>
          <w:sz w:val="32"/>
        </w:rPr>
        <w:t>（所有类型）</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结合各类审计、市委巡视及企业自身相关资料，分析经营管理中存在的主要问题、主要风险或管理的薄弱环节，以及发生这些问题和风险隐患的主观原因、客观原因以及责任主体。</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18" w:firstLineChars="130"/>
        <w:jc w:val="center"/>
        <w:textAlignment w:val="auto"/>
        <w:outlineLvl w:val="9"/>
        <w:rPr>
          <w:rFonts w:hint="default" w:ascii="Times New Roman" w:hAnsi="Times New Roman" w:eastAsia="黑体" w:cs="Times New Roman"/>
          <w:b/>
          <w:bCs/>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18" w:firstLineChars="130"/>
        <w:jc w:val="center"/>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第二部分 主要监督评价内容</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18" w:firstLineChars="130"/>
        <w:jc w:val="center"/>
        <w:textAlignment w:val="auto"/>
        <w:outlineLvl w:val="9"/>
        <w:rPr>
          <w:rFonts w:hint="default" w:ascii="Times New Roman" w:hAnsi="Times New Roman" w:eastAsia="黑体" w:cs="Times New Roman"/>
          <w:b/>
          <w:bCs/>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楷体" w:cs="Times New Roman"/>
          <w:sz w:val="32"/>
        </w:rPr>
      </w:pPr>
      <w:r>
        <w:rPr>
          <w:rFonts w:hint="default" w:ascii="Times New Roman" w:hAnsi="Times New Roman" w:eastAsia="仿宋" w:cs="Times New Roman"/>
          <w:b/>
          <w:sz w:val="32"/>
        </w:rPr>
        <w:t>（一）法人治理及其规范运作情况</w:t>
      </w:r>
      <w:r>
        <w:rPr>
          <w:rFonts w:hint="default" w:ascii="Times New Roman" w:hAnsi="Times New Roman" w:eastAsia="楷体" w:cs="Times New Roman"/>
          <w:sz w:val="32"/>
        </w:rPr>
        <w:t>（所有类型）</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trike/>
          <w:sz w:val="32"/>
        </w:rPr>
      </w:pPr>
      <w:r>
        <w:rPr>
          <w:rFonts w:hint="default" w:ascii="Times New Roman" w:hAnsi="Times New Roman" w:eastAsia="仿宋" w:cs="Times New Roman"/>
          <w:sz w:val="32"/>
        </w:rPr>
        <w:t>1、企业法人治理结构现状和变化情况。包括董监高人员变化，议事规则变动及执行情况。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2、董事会和经理班子履职尽责情况。包括董事会与经理层职责划分和履职情况，董事会对经理层的任用、考核、激励和约束机制情况，董事、高管人员报酬的确定依据及实际支付情况，董事会、经理层完成国资任期目标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3、董事会向市国资委报告会议和年度工作的情况。主要包括：一是总结年度工作中的成绩和特色，二是发现年度工作中的问题和短板，三是提出今后工作的努力方向和改进措施。</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4、集团所属子公司法人治理建设情况。包括集团所属子公司的法人治理结构现状，涉及子公司董事会、监事会建设、母子公司董事会、监事会工作体系运行情况，董事、监事派出及其作用发挥情况。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楷体" w:cs="Times New Roman"/>
          <w:sz w:val="32"/>
        </w:rPr>
      </w:pPr>
      <w:r>
        <w:rPr>
          <w:rFonts w:hint="default" w:ascii="Times New Roman" w:hAnsi="Times New Roman" w:eastAsia="仿宋" w:cs="Times New Roman"/>
          <w:b/>
          <w:sz w:val="32"/>
        </w:rPr>
        <w:t>（二）内部控制建设及执行情况</w:t>
      </w:r>
      <w:r>
        <w:rPr>
          <w:rFonts w:hint="default" w:ascii="Times New Roman" w:hAnsi="Times New Roman" w:eastAsia="楷体" w:cs="Times New Roman"/>
          <w:sz w:val="32"/>
        </w:rPr>
        <w:t>（所有类型）</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1、内部控制制度建设情况。包括内控制度变化情况，年度内控测评实施情况，及对内控风险的整顿情况。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2、重要业务领域风险控制情况。包括是否针对产权登记、改制审计、资产评估、境外资产、重大投资、资金管理、不良资产核销等重点事项制定明确的风险控制措施及执行情况。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3、对投资企业的管控情况。包括投资执行完成情况，比较预期目标是否存在偏差，及对存在较大经营风险、亏损子公司采取的具体措施。</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4、境外投资情况。包括境外投资规模、分布和效益情况、制定相应的管理制度规范情况、针对境外重大项目实施投资全过程管理情况等。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5、容错机制建设及实施情况。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trike/>
          <w:sz w:val="32"/>
        </w:rPr>
      </w:pPr>
      <w:r>
        <w:rPr>
          <w:rFonts w:hint="default" w:ascii="Times New Roman" w:hAnsi="Times New Roman" w:eastAsia="仿宋" w:cs="Times New Roman"/>
          <w:sz w:val="32"/>
        </w:rPr>
        <w:t>6、安全生产情况。报告安全生产重大事故发生情况以及整改情况。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仿宋" w:cs="Times New Roman"/>
          <w:b/>
          <w:sz w:val="32"/>
        </w:rPr>
      </w:pPr>
      <w:r>
        <w:rPr>
          <w:rFonts w:hint="default" w:ascii="Times New Roman" w:hAnsi="Times New Roman" w:eastAsia="仿宋" w:cs="Times New Roman"/>
          <w:b/>
          <w:sz w:val="32"/>
        </w:rPr>
        <w:t>（三）企业发展战略情况</w:t>
      </w:r>
      <w:r>
        <w:rPr>
          <w:rFonts w:hint="default" w:ascii="Times New Roman" w:hAnsi="Times New Roman" w:eastAsia="楷体" w:cs="Times New Roman"/>
          <w:sz w:val="32"/>
        </w:rPr>
        <w:t>（所有类型）</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1、企业发展战略实施情况。评价集团发展战略是否经国资委核准，产业方向是否进入国资委主业目录，综合改革实施方案、三年行动计划和“十四五”规划编制的推进实施情况。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b/>
          <w:strike/>
          <w:sz w:val="32"/>
        </w:rPr>
      </w:pPr>
      <w:r>
        <w:rPr>
          <w:rFonts w:hint="default" w:ascii="Times New Roman" w:hAnsi="Times New Roman" w:eastAsia="仿宋" w:cs="Times New Roman"/>
          <w:sz w:val="32"/>
        </w:rPr>
        <w:t>2、公司科技创新情况</w:t>
      </w:r>
      <w:r>
        <w:rPr>
          <w:rFonts w:hint="default" w:ascii="Times New Roman" w:hAnsi="Times New Roman" w:eastAsia="楷体" w:cs="Times New Roman"/>
          <w:sz w:val="32"/>
        </w:rPr>
        <w:t>（市场竞争类、金融服务类）</w:t>
      </w:r>
      <w:r>
        <w:rPr>
          <w:rFonts w:hint="default" w:ascii="Times New Roman" w:hAnsi="Times New Roman" w:eastAsia="仿宋" w:cs="Times New Roman"/>
          <w:sz w:val="32"/>
        </w:rPr>
        <w:t>。评价集团推进科技创新的主要举措及执行情况。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trike/>
          <w:sz w:val="32"/>
        </w:rPr>
      </w:pPr>
      <w:r>
        <w:rPr>
          <w:rFonts w:hint="default" w:ascii="Times New Roman" w:hAnsi="Times New Roman" w:eastAsia="仿宋" w:cs="Times New Roman"/>
          <w:sz w:val="32"/>
        </w:rPr>
        <w:t>3、公司资本运作情况。评价集团推进资本运作、重大资产重组、资产证券化的举措和执行情况。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4、功能任务完成情况</w:t>
      </w:r>
      <w:r>
        <w:rPr>
          <w:rFonts w:hint="default" w:ascii="Times New Roman" w:hAnsi="Times New Roman" w:eastAsia="楷体" w:cs="Times New Roman"/>
          <w:sz w:val="32"/>
        </w:rPr>
        <w:t>（功能保障类）</w:t>
      </w:r>
      <w:r>
        <w:rPr>
          <w:rFonts w:hint="default" w:ascii="Times New Roman" w:hAnsi="Times New Roman" w:eastAsia="仿宋" w:cs="Times New Roman"/>
          <w:sz w:val="32"/>
        </w:rPr>
        <w:t>。报告集团根据功能定位，承担的主要服务保障任务或重大功能项目及其具体实施情况。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仿宋" w:cs="Times New Roman"/>
          <w:b/>
          <w:sz w:val="32"/>
        </w:rPr>
      </w:pPr>
      <w:r>
        <w:rPr>
          <w:rFonts w:hint="default" w:ascii="Times New Roman" w:hAnsi="Times New Roman" w:eastAsia="仿宋" w:cs="Times New Roman"/>
          <w:b/>
          <w:sz w:val="32"/>
        </w:rPr>
        <w:t>（四）企业财务和资产状况</w:t>
      </w:r>
      <w:r>
        <w:rPr>
          <w:rFonts w:hint="default" w:ascii="Times New Roman" w:hAnsi="Times New Roman" w:eastAsia="楷体" w:cs="Times New Roman"/>
          <w:sz w:val="32"/>
        </w:rPr>
        <w:t>（所有类型）</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1、全面预算管理情况。包括董事会全面预算管理制度建设及执行情况，预算指标与决算指标的偏离情况，经理层针对全面预算管理工作存在的主要问题采取的整改措施。</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2、财务情况。包括国资委14项财务运行预警指标情况；集团下属子公司年度亏损企业名录及亏损额。</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楷体" w:cs="Times New Roman"/>
          <w:sz w:val="32"/>
        </w:rPr>
      </w:pPr>
      <w:r>
        <w:rPr>
          <w:rFonts w:hint="default" w:ascii="Times New Roman" w:hAnsi="Times New Roman" w:eastAsia="仿宋" w:cs="Times New Roman"/>
          <w:b/>
          <w:sz w:val="32"/>
        </w:rPr>
        <w:t>（五）其他情况（如有）</w:t>
      </w:r>
      <w:r>
        <w:rPr>
          <w:rFonts w:hint="default" w:ascii="Times New Roman" w:hAnsi="Times New Roman" w:eastAsia="楷体" w:cs="Times New Roman"/>
          <w:sz w:val="32"/>
        </w:rPr>
        <w:t>（所有类型）</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1、重大关联交易情况；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2、重大经济纠纷或诉讼案件情况；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3、对外捐赠情况；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4、领导人员违法违纪情况；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5、监事会对董事会工作的建议情况，及董事会采纳情况；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6、其他需要特别说明的事项。</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仿宋" w:cs="Times New Roman"/>
          <w:b/>
          <w:sz w:val="32"/>
        </w:rPr>
      </w:pPr>
      <w:r>
        <w:rPr>
          <w:rFonts w:hint="default" w:ascii="Times New Roman" w:hAnsi="Times New Roman" w:eastAsia="仿宋" w:cs="Times New Roman"/>
          <w:b/>
          <w:sz w:val="32"/>
        </w:rPr>
        <w:t>（六）对审计、巡视所发现问题的整改情况</w:t>
      </w:r>
      <w:r>
        <w:rPr>
          <w:rFonts w:hint="default" w:ascii="Times New Roman" w:hAnsi="Times New Roman" w:eastAsia="楷体" w:cs="Times New Roman"/>
          <w:sz w:val="32"/>
        </w:rPr>
        <w:t>（所有类型）</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针对市委巡视整改事项、市国资委、中介机构年报审计整改事项、监事会等提出问题整改事项，推进整改的力度、效果评价。若未启动整改或未完成整改的原因阐述。</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18" w:firstLineChars="130"/>
        <w:jc w:val="center"/>
        <w:textAlignment w:val="auto"/>
        <w:outlineLvl w:val="9"/>
        <w:rPr>
          <w:rFonts w:hint="default" w:ascii="Times New Roman" w:hAnsi="Times New Roman" w:eastAsia="黑体" w:cs="Times New Roman"/>
          <w:b/>
          <w:bCs/>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18" w:firstLineChars="130"/>
        <w:jc w:val="center"/>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第三部分 问题与建议</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18" w:firstLineChars="130"/>
        <w:jc w:val="center"/>
        <w:textAlignment w:val="auto"/>
        <w:outlineLvl w:val="9"/>
        <w:rPr>
          <w:rFonts w:hint="default" w:ascii="Times New Roman" w:hAnsi="Times New Roman" w:eastAsia="宋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（一）问题</w:t>
      </w:r>
      <w:r>
        <w:rPr>
          <w:rFonts w:hint="default" w:ascii="Times New Roman" w:hAnsi="Times New Roman" w:eastAsia="楷体" w:cs="Times New Roman"/>
          <w:bCs/>
          <w:sz w:val="32"/>
          <w:szCs w:val="32"/>
        </w:rPr>
        <w:t>（所有类型）</w:t>
      </w:r>
      <w:r>
        <w:rPr>
          <w:rFonts w:hint="default" w:ascii="Times New Roman" w:hAnsi="Times New Roman" w:eastAsia="仿宋" w:cs="Times New Roman"/>
          <w:b/>
          <w:sz w:val="32"/>
          <w:szCs w:val="32"/>
        </w:rPr>
        <w:t>。</w:t>
      </w:r>
      <w:r>
        <w:rPr>
          <w:rFonts w:hint="default" w:ascii="Times New Roman" w:hAnsi="Times New Roman" w:eastAsia="仿宋" w:cs="Times New Roman"/>
          <w:sz w:val="32"/>
          <w:szCs w:val="32"/>
        </w:rPr>
        <w:t>结合各类审计、内控测评、市委巡视及企业自身相关资料，董事会、经理层查找问题、主要风险或管理的薄弱环节，以及发生这些问题和风险隐患的主观原因、客观原因，分析制约或影响企业健康稳定发展的瓶颈问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（二）建议</w:t>
      </w:r>
      <w:r>
        <w:rPr>
          <w:rFonts w:hint="default" w:ascii="Times New Roman" w:hAnsi="Times New Roman" w:eastAsia="楷体" w:cs="Times New Roman"/>
          <w:bCs/>
          <w:sz w:val="32"/>
          <w:szCs w:val="32"/>
        </w:rPr>
        <w:t>（所有类型）</w:t>
      </w:r>
      <w:r>
        <w:rPr>
          <w:rFonts w:hint="default" w:ascii="Times New Roman" w:hAnsi="Times New Roman" w:eastAsia="仿宋" w:cs="Times New Roman"/>
          <w:b/>
          <w:sz w:val="32"/>
          <w:szCs w:val="32"/>
        </w:rPr>
        <w:t>。</w:t>
      </w:r>
      <w:r>
        <w:rPr>
          <w:rFonts w:hint="default" w:ascii="Times New Roman" w:hAnsi="Times New Roman" w:eastAsia="仿宋" w:cs="Times New Roman"/>
          <w:sz w:val="32"/>
          <w:szCs w:val="32"/>
        </w:rPr>
        <w:t>在对主要问题和风险分析的基础上，对企业经营管理和改革发展提出建设性意见，对市国资委日常监督管理工作的意见和建议。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第四部分 主要辅佐资料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b/>
          <w:bCs/>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1、上年度财务报告、审计报告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2、上年度内控测试报告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3、上年度董事会年度报告、经理班子工作总结</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4、上年度董事会决策事项目录（包括未通过的）</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5、上年度监事会监督检查报告目录（包括主席专报、外派监事报告）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6、企业信用等级评估报告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7、受税务、工商等行业监管部门的奖惩情况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8、其他资料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宋体" w:cs="Times New Roma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楷体" w:cs="Times New Roman"/>
          <w:sz w:val="32"/>
        </w:rPr>
      </w:pPr>
      <w:r>
        <w:rPr>
          <w:rFonts w:hint="default" w:ascii="Times New Roman" w:hAnsi="Times New Roman" w:eastAsia="楷体" w:cs="Times New Roman"/>
          <w:sz w:val="32"/>
        </w:rPr>
        <w:t>备注：本提纲适用于市国资委监管企业集团，对于国有控股整体上市公司在遵循《公司法》、《证券法》及证监会相关制度指引，以及公司章程等相关要求的前提下适用，市国资委委派的监事会主席和外派监事以个人名义提交监督评价报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B5785"/>
    <w:rsid w:val="023B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qFormat/>
    <w:uiPriority w:val="0"/>
    <w:pPr>
      <w:widowControl w:val="0"/>
      <w:spacing w:line="440" w:lineRule="exact"/>
      <w:ind w:firstLine="420"/>
      <w:jc w:val="both"/>
    </w:pPr>
    <w:rPr>
      <w:rFonts w:ascii="Times New Roman" w:hAnsi="Times New Roman" w:eastAsia="宋体" w:cs="Times New Roman"/>
      <w:kern w:val="2"/>
      <w:sz w:val="28"/>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2020-11-19T09:13:00Z</dcterms:created>
  <dc:creator>user</dc:creator>
  <cp:lastModifiedBy>user</cp:lastModifiedBy>
  <dcterms:modified xsi:type="dcterms:W3CDTF">2020-11-19T09:13:35Z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