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宋体" w:cs="Times New Roman"/>
          <w:b/>
          <w:bCs/>
          <w:sz w:val="36"/>
          <w:szCs w:val="36"/>
        </w:rPr>
      </w:pPr>
      <w:r>
        <w:rPr>
          <w:rFonts w:hint="default" w:ascii="Times New Roman" w:hAnsi="Times New Roman" w:eastAsia="宋体" w:cs="Times New Roman"/>
          <w:b/>
          <w:bCs/>
          <w:sz w:val="36"/>
          <w:szCs w:val="36"/>
        </w:rPr>
        <w:t>监事会年度监督评价报告提纲</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方正小标宋简体" w:cs="Times New Roman"/>
          <w:sz w:val="36"/>
          <w:szCs w:val="36"/>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宋体" w:cs="Times New Roman"/>
          <w:sz w:val="36"/>
          <w:szCs w:val="36"/>
        </w:rPr>
      </w:pPr>
      <w:r>
        <w:rPr>
          <w:rFonts w:hint="default" w:ascii="Times New Roman" w:hAnsi="Times New Roman" w:eastAsia="宋体" w:cs="Times New Roman"/>
          <w:b/>
          <w:bCs/>
          <w:sz w:val="32"/>
          <w:szCs w:val="32"/>
        </w:rPr>
        <w:t>第一部分 总体监督评价意见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楷体" w:cs="Times New Roman"/>
          <w:sz w:val="32"/>
          <w:szCs w:val="20"/>
        </w:rPr>
      </w:pPr>
      <w:r>
        <w:rPr>
          <w:rFonts w:hint="default" w:ascii="Times New Roman" w:hAnsi="Times New Roman" w:eastAsia="楷体" w:cs="Times New Roman"/>
          <w:sz w:val="32"/>
          <w:szCs w:val="20"/>
        </w:rPr>
        <w:t>（1000字以内，简要概述）</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楷体" w:cs="Times New Roman"/>
          <w:sz w:val="32"/>
          <w:szCs w:val="20"/>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楷体" w:cs="Times New Roman"/>
          <w:sz w:val="32"/>
        </w:rPr>
      </w:pPr>
      <w:r>
        <w:rPr>
          <w:rFonts w:hint="default" w:ascii="Times New Roman" w:hAnsi="Times New Roman" w:eastAsia="仿宋" w:cs="Times New Roman"/>
          <w:b/>
          <w:sz w:val="32"/>
        </w:rPr>
        <w:t>（一）企业运行总体情况</w:t>
      </w:r>
      <w:r>
        <w:rPr>
          <w:rFonts w:hint="default" w:ascii="Times New Roman" w:hAnsi="Times New Roman" w:eastAsia="楷体" w:cs="Times New Roman"/>
          <w:sz w:val="32"/>
        </w:rPr>
        <w:t>（所有类型）</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z w:val="32"/>
        </w:rPr>
      </w:pPr>
      <w:r>
        <w:rPr>
          <w:rFonts w:hint="default" w:ascii="Times New Roman" w:hAnsi="Times New Roman" w:eastAsia="仿宋" w:cs="Times New Roman"/>
          <w:sz w:val="32"/>
        </w:rPr>
        <w:t>企业实现任期战略规划、年度预算和计划的总体情况，企业与国资委签订的任期目标责任书所提出的经营目标完成情况，对照实际完成情况与年度目标的主要差距和原因分析。</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楷体" w:cs="Times New Roman"/>
          <w:sz w:val="32"/>
        </w:rPr>
      </w:pPr>
      <w:r>
        <w:rPr>
          <w:rFonts w:hint="default" w:ascii="Times New Roman" w:hAnsi="Times New Roman" w:eastAsia="仿宋" w:cs="Times New Roman"/>
          <w:b/>
          <w:sz w:val="32"/>
        </w:rPr>
        <w:t>（二）功能任务完成情况</w:t>
      </w:r>
      <w:r>
        <w:rPr>
          <w:rFonts w:hint="default" w:ascii="Times New Roman" w:hAnsi="Times New Roman" w:eastAsia="楷体" w:cs="Times New Roman"/>
          <w:sz w:val="32"/>
        </w:rPr>
        <w:t>（功能保障类）</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z w:val="32"/>
        </w:rPr>
      </w:pPr>
      <w:r>
        <w:rPr>
          <w:rFonts w:hint="default" w:ascii="Times New Roman" w:hAnsi="Times New Roman" w:eastAsia="仿宋" w:cs="Times New Roman"/>
          <w:sz w:val="32"/>
        </w:rPr>
        <w:t>承担的政府重大项目是否按节点完成，未按计划完成的主要原因，承担社会责任的履行情况，社会满意度情况。</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楷体" w:cs="Times New Roman"/>
          <w:sz w:val="32"/>
        </w:rPr>
      </w:pPr>
      <w:r>
        <w:rPr>
          <w:rFonts w:hint="default" w:ascii="Times New Roman" w:hAnsi="Times New Roman" w:eastAsia="仿宋" w:cs="Times New Roman"/>
          <w:b/>
          <w:sz w:val="32"/>
        </w:rPr>
        <w:t>（三）合法合规情况</w:t>
      </w:r>
      <w:r>
        <w:rPr>
          <w:rFonts w:hint="default" w:ascii="Times New Roman" w:hAnsi="Times New Roman" w:eastAsia="楷体" w:cs="Times New Roman"/>
          <w:sz w:val="32"/>
        </w:rPr>
        <w:t>（所有类型）</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z w:val="32"/>
        </w:rPr>
      </w:pPr>
      <w:r>
        <w:rPr>
          <w:rFonts w:hint="default" w:ascii="Times New Roman" w:hAnsi="Times New Roman" w:eastAsia="仿宋" w:cs="Times New Roman"/>
          <w:sz w:val="32"/>
        </w:rPr>
        <w:t>包括董事会组成情况，会议召开频次情况，董事履职情况（参加会议与发表意见等），董事会制度建设情况等。</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 w:cs="Times New Roman"/>
          <w:b/>
          <w:sz w:val="32"/>
        </w:rPr>
      </w:pPr>
      <w:r>
        <w:rPr>
          <w:rFonts w:hint="default" w:ascii="Times New Roman" w:hAnsi="Times New Roman" w:eastAsia="仿宋" w:cs="Times New Roman"/>
          <w:b/>
          <w:sz w:val="32"/>
        </w:rPr>
        <w:t>（四）主要问题及风险</w:t>
      </w:r>
      <w:r>
        <w:rPr>
          <w:rFonts w:hint="default" w:ascii="Times New Roman" w:hAnsi="Times New Roman" w:eastAsia="楷体" w:cs="Times New Roman"/>
          <w:sz w:val="32"/>
        </w:rPr>
        <w:t>（所有类型）</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z w:val="32"/>
        </w:rPr>
      </w:pPr>
      <w:r>
        <w:rPr>
          <w:rFonts w:hint="default" w:ascii="Times New Roman" w:hAnsi="Times New Roman" w:eastAsia="仿宋" w:cs="Times New Roman"/>
          <w:sz w:val="32"/>
        </w:rPr>
        <w:t>结合各类审计、市委巡视及企业自身相关资料，分析经营管理中存在的主要问题、主要风险或管理的薄弱环节，以及发生这些问题和风险隐患的主观原因、客观原因以及责任主体。</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418" w:firstLineChars="130"/>
        <w:jc w:val="center"/>
        <w:textAlignment w:val="auto"/>
        <w:outlineLvl w:val="9"/>
        <w:rPr>
          <w:rFonts w:hint="default" w:ascii="Times New Roman" w:hAnsi="Times New Roman" w:eastAsia="黑体" w:cs="Times New Roman"/>
          <w:b/>
          <w:bCs/>
          <w:sz w:val="32"/>
          <w:szCs w:val="32"/>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418" w:firstLineChars="130"/>
        <w:jc w:val="center"/>
        <w:textAlignment w:val="auto"/>
        <w:outlineLvl w:val="9"/>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第二部分 主要监督评价内容</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418" w:firstLineChars="130"/>
        <w:jc w:val="center"/>
        <w:textAlignment w:val="auto"/>
        <w:outlineLvl w:val="9"/>
        <w:rPr>
          <w:rFonts w:hint="default" w:ascii="Times New Roman" w:hAnsi="Times New Roman" w:eastAsia="黑体" w:cs="Times New Roman"/>
          <w:b/>
          <w:bCs/>
          <w:sz w:val="32"/>
          <w:szCs w:val="32"/>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楷体" w:cs="Times New Roman"/>
          <w:sz w:val="32"/>
        </w:rPr>
      </w:pPr>
      <w:r>
        <w:rPr>
          <w:rFonts w:hint="default" w:ascii="Times New Roman" w:hAnsi="Times New Roman" w:eastAsia="仿宋" w:cs="Times New Roman"/>
          <w:b/>
          <w:sz w:val="32"/>
        </w:rPr>
        <w:t>（一）法人治理及其规范运作情况</w:t>
      </w:r>
      <w:r>
        <w:rPr>
          <w:rFonts w:hint="default" w:ascii="Times New Roman" w:hAnsi="Times New Roman" w:eastAsia="楷体" w:cs="Times New Roman"/>
          <w:sz w:val="32"/>
        </w:rPr>
        <w:t>（所有类型）</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trike/>
          <w:sz w:val="32"/>
        </w:rPr>
      </w:pPr>
      <w:r>
        <w:rPr>
          <w:rFonts w:hint="default" w:ascii="Times New Roman" w:hAnsi="Times New Roman" w:eastAsia="仿宋" w:cs="Times New Roman"/>
          <w:sz w:val="32"/>
        </w:rPr>
        <w:t>1、企业法人治理结构现状和变化情况。包括董监高人员变化，议事规则变动及执行情况。</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z w:val="32"/>
        </w:rPr>
      </w:pPr>
      <w:r>
        <w:rPr>
          <w:rFonts w:hint="default" w:ascii="Times New Roman" w:hAnsi="Times New Roman" w:eastAsia="仿宋" w:cs="Times New Roman"/>
          <w:sz w:val="32"/>
        </w:rPr>
        <w:t>2、董事会和经理班子履职尽责情况。包括董事会与经理层职责划分和履职情况，董事会对经理层的任用、考核、激励和约束机制情况，董事、高管人员报酬的确定依据及实际支付情况，董事会、经理层完成国资任期目标情况。</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z w:val="32"/>
        </w:rPr>
      </w:pPr>
      <w:r>
        <w:rPr>
          <w:rFonts w:hint="default" w:ascii="Times New Roman" w:hAnsi="Times New Roman" w:eastAsia="仿宋" w:cs="Times New Roman"/>
          <w:sz w:val="32"/>
        </w:rPr>
        <w:t>3、董事会向市国资委报告会议和年度工作的情况。主要包括：一是总结年度工作中的成绩和特色，二是发现年度工作中的问题和短板，三是提出今后工作的努力方向和改进措施。</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z w:val="32"/>
        </w:rPr>
      </w:pPr>
      <w:r>
        <w:rPr>
          <w:rFonts w:hint="default" w:ascii="Times New Roman" w:hAnsi="Times New Roman" w:eastAsia="仿宋" w:cs="Times New Roman"/>
          <w:sz w:val="32"/>
        </w:rPr>
        <w:t>4、集团所属子公司法人治理建设情况。包括集团所属子公司的法人治理结构现状，涉及子公司董事会、监事会建设、母子公司董事会、监事会工作体系运行情况，董事、监事派出及其作用发挥情况。</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楷体" w:cs="Times New Roman"/>
          <w:sz w:val="32"/>
        </w:rPr>
      </w:pPr>
      <w:r>
        <w:rPr>
          <w:rFonts w:hint="default" w:ascii="Times New Roman" w:hAnsi="Times New Roman" w:eastAsia="仿宋" w:cs="Times New Roman"/>
          <w:b/>
          <w:sz w:val="32"/>
        </w:rPr>
        <w:t>（二）内部控制建设及执行情况</w:t>
      </w:r>
      <w:r>
        <w:rPr>
          <w:rFonts w:hint="default" w:ascii="Times New Roman" w:hAnsi="Times New Roman" w:eastAsia="楷体" w:cs="Times New Roman"/>
          <w:sz w:val="32"/>
        </w:rPr>
        <w:t>（所有类型）</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z w:val="32"/>
        </w:rPr>
      </w:pPr>
      <w:r>
        <w:rPr>
          <w:rFonts w:hint="default" w:ascii="Times New Roman" w:hAnsi="Times New Roman" w:eastAsia="仿宋" w:cs="Times New Roman"/>
          <w:sz w:val="32"/>
        </w:rPr>
        <w:t>1、内部控制制度建设情况。包括内控制度变化情况，年度内控测评实施情况，及对内控风险的整顿情况。</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z w:val="32"/>
        </w:rPr>
      </w:pPr>
      <w:r>
        <w:rPr>
          <w:rFonts w:hint="default" w:ascii="Times New Roman" w:hAnsi="Times New Roman" w:eastAsia="仿宋" w:cs="Times New Roman"/>
          <w:sz w:val="32"/>
        </w:rPr>
        <w:t>2、重要业务领域风险控制情况。包括是否针对产权登记、改制审计、资产评估、境外资产、重大投资、资金管理、不良资产核销等重点事项制定明确的风险控制措施及执行情况。</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z w:val="32"/>
        </w:rPr>
      </w:pPr>
      <w:r>
        <w:rPr>
          <w:rFonts w:hint="default" w:ascii="Times New Roman" w:hAnsi="Times New Roman" w:eastAsia="仿宋" w:cs="Times New Roman"/>
          <w:sz w:val="32"/>
        </w:rPr>
        <w:t>3、对投资企业的管控情况。包括投资执行完成情况，比较预期目标是否存在偏差，及对存在较大经营风险、亏损子公司采取的具体措施。</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z w:val="32"/>
        </w:rPr>
      </w:pPr>
      <w:r>
        <w:rPr>
          <w:rFonts w:hint="default" w:ascii="Times New Roman" w:hAnsi="Times New Roman" w:eastAsia="仿宋" w:cs="Times New Roman"/>
          <w:sz w:val="32"/>
        </w:rPr>
        <w:t>4、境外投资情况。包括境外投资规模、分布和效益情况、制定相应的管理制度规范情况、针对境外重大项目实施投资全过程管理情况等。</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z w:val="32"/>
        </w:rPr>
      </w:pPr>
      <w:r>
        <w:rPr>
          <w:rFonts w:hint="default" w:ascii="Times New Roman" w:hAnsi="Times New Roman" w:eastAsia="仿宋" w:cs="Times New Roman"/>
          <w:sz w:val="32"/>
        </w:rPr>
        <w:t>5、容错机制建设及实施情况。</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trike/>
          <w:sz w:val="32"/>
        </w:rPr>
      </w:pPr>
      <w:r>
        <w:rPr>
          <w:rFonts w:hint="default" w:ascii="Times New Roman" w:hAnsi="Times New Roman" w:eastAsia="仿宋" w:cs="Times New Roman"/>
          <w:sz w:val="32"/>
        </w:rPr>
        <w:t>6、安全生产情况。报告安全生产重大事故发生情况以及整改情况。</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 w:cs="Times New Roman"/>
          <w:b/>
          <w:sz w:val="32"/>
        </w:rPr>
      </w:pPr>
      <w:r>
        <w:rPr>
          <w:rFonts w:hint="default" w:ascii="Times New Roman" w:hAnsi="Times New Roman" w:eastAsia="仿宋" w:cs="Times New Roman"/>
          <w:b/>
          <w:sz w:val="32"/>
        </w:rPr>
        <w:t>（三）企业发展战略情况</w:t>
      </w:r>
      <w:r>
        <w:rPr>
          <w:rFonts w:hint="default" w:ascii="Times New Roman" w:hAnsi="Times New Roman" w:eastAsia="楷体" w:cs="Times New Roman"/>
          <w:sz w:val="32"/>
        </w:rPr>
        <w:t>（所有类型）</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z w:val="32"/>
        </w:rPr>
      </w:pPr>
      <w:r>
        <w:rPr>
          <w:rFonts w:hint="default" w:ascii="Times New Roman" w:hAnsi="Times New Roman" w:eastAsia="仿宋" w:cs="Times New Roman"/>
          <w:sz w:val="32"/>
        </w:rPr>
        <w:t>1、企业发展战略实施情况。评价集团发展战略是否经国资委核准，产业方向是否进入国资委主业目录，综合改革实施方案、三年行动计划和“十四五”规划编制的推进实施情况。</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b/>
          <w:strike/>
          <w:sz w:val="32"/>
        </w:rPr>
      </w:pPr>
      <w:r>
        <w:rPr>
          <w:rFonts w:hint="default" w:ascii="Times New Roman" w:hAnsi="Times New Roman" w:eastAsia="仿宋" w:cs="Times New Roman"/>
          <w:sz w:val="32"/>
        </w:rPr>
        <w:t>2、公司科技创新情况</w:t>
      </w:r>
      <w:r>
        <w:rPr>
          <w:rFonts w:hint="default" w:ascii="Times New Roman" w:hAnsi="Times New Roman" w:eastAsia="楷体" w:cs="Times New Roman"/>
          <w:sz w:val="32"/>
        </w:rPr>
        <w:t>（市场竞争类、金融服务类）</w:t>
      </w:r>
      <w:r>
        <w:rPr>
          <w:rFonts w:hint="default" w:ascii="Times New Roman" w:hAnsi="Times New Roman" w:eastAsia="仿宋" w:cs="Times New Roman"/>
          <w:sz w:val="32"/>
        </w:rPr>
        <w:t>。评价集团推进科技创新的主要举措及执行情况。</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trike/>
          <w:sz w:val="32"/>
        </w:rPr>
      </w:pPr>
      <w:r>
        <w:rPr>
          <w:rFonts w:hint="default" w:ascii="Times New Roman" w:hAnsi="Times New Roman" w:eastAsia="仿宋" w:cs="Times New Roman"/>
          <w:sz w:val="32"/>
        </w:rPr>
        <w:t>3、公司资本运作情况。评价集团推进资本运作、重大资产重组、资产证券化的举措和执行情况。</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z w:val="32"/>
        </w:rPr>
      </w:pPr>
      <w:r>
        <w:rPr>
          <w:rFonts w:hint="default" w:ascii="Times New Roman" w:hAnsi="Times New Roman" w:eastAsia="仿宋" w:cs="Times New Roman"/>
          <w:sz w:val="32"/>
        </w:rPr>
        <w:t>4、功能任务完成情况</w:t>
      </w:r>
      <w:r>
        <w:rPr>
          <w:rFonts w:hint="default" w:ascii="Times New Roman" w:hAnsi="Times New Roman" w:eastAsia="楷体" w:cs="Times New Roman"/>
          <w:sz w:val="32"/>
        </w:rPr>
        <w:t>（功能保障类）</w:t>
      </w:r>
      <w:r>
        <w:rPr>
          <w:rFonts w:hint="default" w:ascii="Times New Roman" w:hAnsi="Times New Roman" w:eastAsia="仿宋" w:cs="Times New Roman"/>
          <w:sz w:val="32"/>
        </w:rPr>
        <w:t>。报告集团根据功能定位，承担的主要服务保障任务或重大功能项目及其具体实施情况。</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 w:cs="Times New Roman"/>
          <w:b/>
          <w:sz w:val="32"/>
        </w:rPr>
      </w:pPr>
      <w:r>
        <w:rPr>
          <w:rFonts w:hint="default" w:ascii="Times New Roman" w:hAnsi="Times New Roman" w:eastAsia="仿宋" w:cs="Times New Roman"/>
          <w:b/>
          <w:sz w:val="32"/>
        </w:rPr>
        <w:t>（四）企业财务和资产状况</w:t>
      </w:r>
      <w:r>
        <w:rPr>
          <w:rFonts w:hint="default" w:ascii="Times New Roman" w:hAnsi="Times New Roman" w:eastAsia="楷体" w:cs="Times New Roman"/>
          <w:sz w:val="32"/>
        </w:rPr>
        <w:t>（所有类型）</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z w:val="32"/>
        </w:rPr>
      </w:pPr>
      <w:r>
        <w:rPr>
          <w:rFonts w:hint="default" w:ascii="Times New Roman" w:hAnsi="Times New Roman" w:eastAsia="仿宋" w:cs="Times New Roman"/>
          <w:sz w:val="32"/>
        </w:rPr>
        <w:t>1、全面预算管理情况。包括董事会全面预算管理制度建设及执行情况，预算指标与决算指标的偏离情况，经理层针对全面预算管理工作存在的主要问题采取的整改措施。</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z w:val="32"/>
        </w:rPr>
      </w:pPr>
      <w:r>
        <w:rPr>
          <w:rFonts w:hint="default" w:ascii="Times New Roman" w:hAnsi="Times New Roman" w:eastAsia="仿宋" w:cs="Times New Roman"/>
          <w:sz w:val="32"/>
        </w:rPr>
        <w:t>2、财务情况。包括国资委14项财务运行预警指标情况；集团下属子公司年度亏损企业名录及亏损额。</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楷体" w:cs="Times New Roman"/>
          <w:sz w:val="32"/>
        </w:rPr>
      </w:pPr>
      <w:r>
        <w:rPr>
          <w:rFonts w:hint="default" w:ascii="Times New Roman" w:hAnsi="Times New Roman" w:eastAsia="仿宋" w:cs="Times New Roman"/>
          <w:b/>
          <w:sz w:val="32"/>
        </w:rPr>
        <w:t>（五）其他情况（如有）</w:t>
      </w:r>
      <w:r>
        <w:rPr>
          <w:rFonts w:hint="default" w:ascii="Times New Roman" w:hAnsi="Times New Roman" w:eastAsia="楷体" w:cs="Times New Roman"/>
          <w:sz w:val="32"/>
        </w:rPr>
        <w:t>（所有类型）</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z w:val="32"/>
        </w:rPr>
      </w:pPr>
      <w:r>
        <w:rPr>
          <w:rFonts w:hint="default" w:ascii="Times New Roman" w:hAnsi="Times New Roman" w:eastAsia="仿宋" w:cs="Times New Roman"/>
          <w:sz w:val="32"/>
        </w:rPr>
        <w:t>1、重大关联交易情况；</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z w:val="32"/>
        </w:rPr>
      </w:pPr>
      <w:r>
        <w:rPr>
          <w:rFonts w:hint="default" w:ascii="Times New Roman" w:hAnsi="Times New Roman" w:eastAsia="仿宋" w:cs="Times New Roman"/>
          <w:sz w:val="32"/>
        </w:rPr>
        <w:t>2、重大经济纠纷或诉讼案件情况；</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z w:val="32"/>
        </w:rPr>
      </w:pPr>
      <w:r>
        <w:rPr>
          <w:rFonts w:hint="default" w:ascii="Times New Roman" w:hAnsi="Times New Roman" w:eastAsia="仿宋" w:cs="Times New Roman"/>
          <w:sz w:val="32"/>
        </w:rPr>
        <w:t>3、对外捐赠情况；</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z w:val="32"/>
        </w:rPr>
      </w:pPr>
      <w:r>
        <w:rPr>
          <w:rFonts w:hint="default" w:ascii="Times New Roman" w:hAnsi="Times New Roman" w:eastAsia="仿宋" w:cs="Times New Roman"/>
          <w:sz w:val="32"/>
        </w:rPr>
        <w:t>4、领导人员违法违纪情况；</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z w:val="32"/>
        </w:rPr>
      </w:pPr>
      <w:r>
        <w:rPr>
          <w:rFonts w:hint="default" w:ascii="Times New Roman" w:hAnsi="Times New Roman" w:eastAsia="仿宋" w:cs="Times New Roman"/>
          <w:sz w:val="32"/>
        </w:rPr>
        <w:t>5、监事会对董事会工作的建议情况，及董事会采纳情况；</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z w:val="32"/>
        </w:rPr>
      </w:pPr>
      <w:r>
        <w:rPr>
          <w:rFonts w:hint="default" w:ascii="Times New Roman" w:hAnsi="Times New Roman" w:eastAsia="仿宋" w:cs="Times New Roman"/>
          <w:sz w:val="32"/>
        </w:rPr>
        <w:t>6、其他需要特别说明的事项。</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 w:cs="Times New Roman"/>
          <w:b/>
          <w:sz w:val="32"/>
        </w:rPr>
      </w:pPr>
      <w:r>
        <w:rPr>
          <w:rFonts w:hint="default" w:ascii="Times New Roman" w:hAnsi="Times New Roman" w:eastAsia="仿宋" w:cs="Times New Roman"/>
          <w:b/>
          <w:sz w:val="32"/>
        </w:rPr>
        <w:t>（六）对审计、巡视所发现问题的整改情况</w:t>
      </w:r>
      <w:r>
        <w:rPr>
          <w:rFonts w:hint="default" w:ascii="Times New Roman" w:hAnsi="Times New Roman" w:eastAsia="楷体" w:cs="Times New Roman"/>
          <w:sz w:val="32"/>
        </w:rPr>
        <w:t>（所有类型）</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z w:val="32"/>
        </w:rPr>
      </w:pPr>
      <w:r>
        <w:rPr>
          <w:rFonts w:hint="default" w:ascii="Times New Roman" w:hAnsi="Times New Roman" w:eastAsia="仿宋" w:cs="Times New Roman"/>
          <w:sz w:val="32"/>
        </w:rPr>
        <w:t>针对市委巡视整改事项、市国资委、中介机构年报审计整改事项、监事会等提出问题整改事项，推进整改的力度、效果评价。若未启动整改或未完成整改的原因阐述。</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418" w:firstLineChars="130"/>
        <w:jc w:val="center"/>
        <w:textAlignment w:val="auto"/>
        <w:outlineLvl w:val="9"/>
        <w:rPr>
          <w:rFonts w:hint="default" w:ascii="Times New Roman" w:hAnsi="Times New Roman" w:eastAsia="黑体" w:cs="Times New Roman"/>
          <w:b/>
          <w:bCs/>
          <w:sz w:val="32"/>
          <w:szCs w:val="32"/>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418" w:firstLineChars="130"/>
        <w:jc w:val="center"/>
        <w:textAlignment w:val="auto"/>
        <w:outlineLvl w:val="9"/>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第三部分 问题与建议</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418" w:firstLineChars="130"/>
        <w:jc w:val="center"/>
        <w:textAlignment w:val="auto"/>
        <w:outlineLvl w:val="9"/>
        <w:rPr>
          <w:rFonts w:hint="default" w:ascii="Times New Roman" w:hAnsi="Times New Roman" w:eastAsia="宋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（一）问题</w:t>
      </w:r>
      <w:r>
        <w:rPr>
          <w:rFonts w:hint="default" w:ascii="Times New Roman" w:hAnsi="Times New Roman" w:eastAsia="楷体" w:cs="Times New Roman"/>
          <w:bCs/>
          <w:sz w:val="32"/>
          <w:szCs w:val="32"/>
        </w:rPr>
        <w:t>（所有类型）</w:t>
      </w:r>
      <w:r>
        <w:rPr>
          <w:rFonts w:hint="default" w:ascii="Times New Roman" w:hAnsi="Times New Roman" w:eastAsia="仿宋" w:cs="Times New Roman"/>
          <w:b/>
          <w:sz w:val="32"/>
          <w:szCs w:val="32"/>
        </w:rPr>
        <w:t>。</w:t>
      </w:r>
      <w:r>
        <w:rPr>
          <w:rFonts w:hint="default" w:ascii="Times New Roman" w:hAnsi="Times New Roman" w:eastAsia="仿宋" w:cs="Times New Roman"/>
          <w:sz w:val="32"/>
          <w:szCs w:val="32"/>
        </w:rPr>
        <w:t>结合各类审计、内控测评、市委巡视及企业自身相关资料，董事会、经理层查找问题、主要风险或管理的薄弱环节，以及发生这些问题和风险隐患的主观原因、客观原因，分析制约或影响企业健康稳定发展的瓶颈问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（二）建议</w:t>
      </w:r>
      <w:r>
        <w:rPr>
          <w:rFonts w:hint="default" w:ascii="Times New Roman" w:hAnsi="Times New Roman" w:eastAsia="楷体" w:cs="Times New Roman"/>
          <w:bCs/>
          <w:sz w:val="32"/>
          <w:szCs w:val="32"/>
        </w:rPr>
        <w:t>（所有类型）</w:t>
      </w:r>
      <w:r>
        <w:rPr>
          <w:rFonts w:hint="default" w:ascii="Times New Roman" w:hAnsi="Times New Roman" w:eastAsia="仿宋" w:cs="Times New Roman"/>
          <w:b/>
          <w:sz w:val="32"/>
          <w:szCs w:val="32"/>
        </w:rPr>
        <w:t>。</w:t>
      </w:r>
      <w:r>
        <w:rPr>
          <w:rFonts w:hint="default" w:ascii="Times New Roman" w:hAnsi="Times New Roman" w:eastAsia="仿宋" w:cs="Times New Roman"/>
          <w:sz w:val="32"/>
          <w:szCs w:val="32"/>
        </w:rPr>
        <w:t>在对主要问题和风险分析的基础上，对企业经营管理和改革发展提出建设性意见，对市国资委日常监督管理工作的意见和建议。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黑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第四部分 主要辅佐资料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黑体" w:cs="Times New Roman"/>
          <w:b/>
          <w:bCs/>
          <w:sz w:val="32"/>
          <w:szCs w:val="32"/>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1、上年度财务报告、审计报告</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2、上年度内控测试报告</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3、上年度董事会年度报告、经理班子工作总结</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4、上年度董事会决策事项目录（包括未通过的）</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5、上年度监事会监督检查报告目录（包括主席专报、外派监事报告）</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6、企业信用等级评估报告</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7、受税务、工商等行业监管部门的奖惩情况</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8、其他资料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宋体" w:cs="Times New Roman"/>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楷体" w:cs="Times New Roman"/>
          <w:sz w:val="32"/>
        </w:rPr>
      </w:pPr>
      <w:r>
        <w:rPr>
          <w:rFonts w:hint="default" w:ascii="Times New Roman" w:hAnsi="Times New Roman" w:eastAsia="楷体" w:cs="Times New Roman"/>
          <w:sz w:val="32"/>
        </w:rPr>
        <w:t>备注：本提纲适用于市国资委监管企业集团，对于国有控股整体上市公司在遵循《公司法》、《证券法》及证监会相关制度指引，以及公司章程等相关要求的前提下适用，市国资委委派的监事会主席和外派监事以个人名义提交监督评价报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3B5785"/>
    <w:rsid w:val="023B5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Indent"/>
    <w:qFormat/>
    <w:uiPriority w:val="0"/>
    <w:pPr>
      <w:widowControl w:val="0"/>
      <w:spacing w:line="440" w:lineRule="exact"/>
      <w:ind w:firstLine="420"/>
      <w:jc w:val="both"/>
    </w:pPr>
    <w:rPr>
      <w:rFonts w:ascii="Times New Roman" w:hAnsi="Times New Roman" w:eastAsia="宋体" w:cs="Times New Roman"/>
      <w:kern w:val="2"/>
      <w:sz w:val="28"/>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2020-11-19T09:13:00Z</dcterms:created>
  <dc:creator>user</dc:creator>
  <cp:lastModifiedBy>user</cp:lastModifiedBy>
  <dcterms:modified xsi:type="dcterms:W3CDTF">2020-11-19T09:13:35Z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