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上海市国资委202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年信息公开工作分解表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15"/>
        <w:gridCol w:w="3710"/>
        <w:gridCol w:w="1281"/>
        <w:gridCol w:w="124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任务名称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任务内容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牵头处室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时间节点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服务国家和本市重大任务信息公开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监管企业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服务自贸试验区、临港新片区、五个新城和南北转型区域等相关信息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规划处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推动集成电路、生物医药、人工智能等重点产业发展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等相关信息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规划处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创新处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推进落实国企改革深化提升行动等相关信息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改革处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上海国资国企加快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发展新质生产力和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主责主业管理等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规划处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推进科技创新相关信息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创新处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盘活存量资产相关信息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评价处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规划处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优化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监管企业履行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社会责任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宣传处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综合处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推动绿色低碳转型发展相关信息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规划处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7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15" w:type="dxa"/>
            <w:vMerge w:val="continue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szCs w:val="24"/>
                <w:lang w:val="en-US" w:eastAsia="zh-CN"/>
              </w:rPr>
              <w:t>深化金融服务实体经济相关信息</w:t>
            </w:r>
          </w:p>
        </w:tc>
        <w:tc>
          <w:tcPr>
            <w:tcW w:w="1281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金融处</w:t>
            </w:r>
          </w:p>
        </w:tc>
        <w:tc>
          <w:tcPr>
            <w:tcW w:w="1244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提升公司治理现代化水平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>相关信息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kern w:val="2"/>
                <w:sz w:val="24"/>
                <w:szCs w:val="24"/>
                <w:lang w:val="en-US" w:eastAsia="zh-CN" w:bidi="ar-SA"/>
              </w:rPr>
              <w:t>公司治理处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推进完善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国资监管信息公开</w:t>
            </w:r>
          </w:p>
        </w:tc>
        <w:tc>
          <w:tcPr>
            <w:tcW w:w="3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本市地方国有企业202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年度总体运行情况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的信息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评价处</w:t>
            </w:r>
          </w:p>
        </w:tc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国有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资产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交易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的相关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28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产权处</w:t>
            </w:r>
          </w:p>
        </w:tc>
        <w:tc>
          <w:tcPr>
            <w:tcW w:w="124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监管企业领导人员任免信息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领管处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监管企业202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年任期届满企业法定代表人业绩考核结果、监管企业202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4"/>
                <w:szCs w:val="24"/>
              </w:rPr>
              <w:t>年度企业领导人员薪酬信息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考核处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国资监管履职清单和事中事后监管清单、审批事项办事指南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合法性审核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等信息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法规处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推进完善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国资监管信息公开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市国资委202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年部门、单位预算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评价处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2月底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市国资委202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年部门、单位决算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评价处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8月底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“三公”经费财政拨款情况、政府采购信息、国有资产占有使用、预算绩效等重要事项的说明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评价处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强化重要政策发布解读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及时发布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国资监管政策文件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多元化解读材料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，做好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政策文件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精准推送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各处室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优化政策公开及参与流程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公文备案和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政策文件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成式发布工作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市国资委202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年度重大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决策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事项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目录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法规处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3月底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回应社会公众关心关切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做好依申请公开答复及政务公开平台全过程记录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企业发展服务中心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优化网上政民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互动交流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渠道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做好中国政府网转办留言办理工作，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梳理“智能回答”清单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并公开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企业发展服务中心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做好“政府开放月”“上海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国企开放日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7月-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夯实政务公开基础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政府信息公开专栏维护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发布政府信息公开年报及解读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1月底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上海市国资委政务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工作要点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、任务分解表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及解读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月底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落实政务公开工作经费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评价处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开展政务公开培训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人事处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11月底前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门户网站运维和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规范化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管理水平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信息化处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提高政务新媒体规范化管理水平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全年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ZDQyOThkZmVjMTU3YmJlZTk4ODUyZjkyNzA4YjIifQ=="/>
  </w:docVars>
  <w:rsids>
    <w:rsidRoot w:val="00000000"/>
    <w:rsid w:val="383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2024-05-06T09:43:34Z</dcterms:created>
  <dc:creator>Administrator</dc:creator>
  <cp:lastModifiedBy>小橙子</cp:lastModifiedBy>
  <dcterms:modified xsi:type="dcterms:W3CDTF">2024-05-06T09:43:38Z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3D303123C7554FDDA7FB56AE27639A19_12</vt:lpwstr>
  </property>
</Properties>
</file>