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华文中宋" w:hAnsi="华文中宋" w:eastAsia="华文中宋" w:cs="新宋体"/>
          <w:b/>
          <w:sz w:val="36"/>
          <w:szCs w:val="36"/>
          <w:u w:val="none"/>
        </w:rPr>
      </w:pPr>
      <w:r>
        <w:rPr>
          <w:rFonts w:hint="eastAsia" w:ascii="华文中宋" w:hAnsi="华文中宋" w:eastAsia="华文中宋" w:cs="新宋体"/>
          <w:b/>
          <w:sz w:val="36"/>
          <w:szCs w:val="36"/>
          <w:lang w:eastAsia="zh-CN"/>
        </w:rPr>
        <w:t>关于《</w:t>
      </w:r>
      <w:r>
        <w:rPr>
          <w:rFonts w:hint="eastAsia" w:ascii="华文中宋" w:hAnsi="华文中宋" w:eastAsia="华文中宋" w:cs="新宋体"/>
          <w:b/>
          <w:sz w:val="36"/>
          <w:szCs w:val="36"/>
        </w:rPr>
        <w:t>上海市国资委、</w:t>
      </w:r>
      <w:r>
        <w:rPr>
          <w:rFonts w:hint="eastAsia" w:ascii="华文中宋" w:hAnsi="华文中宋" w:eastAsia="华文中宋" w:cs="新宋体"/>
          <w:b/>
          <w:sz w:val="36"/>
          <w:szCs w:val="36"/>
          <w:u w:val="none"/>
        </w:rPr>
        <w:t>市</w:t>
      </w:r>
      <w:r>
        <w:rPr>
          <w:rFonts w:hint="eastAsia" w:ascii="华文中宋" w:hAnsi="华文中宋" w:eastAsia="华文中宋" w:cs="新宋体"/>
          <w:b/>
          <w:sz w:val="36"/>
          <w:szCs w:val="36"/>
          <w:u w:val="none"/>
          <w:lang w:eastAsia="zh-CN"/>
        </w:rPr>
        <w:t>市场监管局</w:t>
      </w:r>
      <w:r>
        <w:rPr>
          <w:rFonts w:hint="eastAsia" w:ascii="华文中宋" w:hAnsi="华文中宋" w:eastAsia="华文中宋" w:cs="新宋体"/>
          <w:b/>
          <w:sz w:val="36"/>
          <w:szCs w:val="36"/>
          <w:u w:val="none"/>
        </w:rPr>
        <w:t>关于对本市</w:t>
      </w:r>
    </w:p>
    <w:p>
      <w:pPr>
        <w:spacing w:line="580" w:lineRule="exact"/>
        <w:jc w:val="center"/>
        <w:rPr>
          <w:rFonts w:hint="eastAsia" w:ascii="华文中宋" w:hAnsi="华文中宋" w:eastAsia="华文中宋" w:cs="新宋体"/>
          <w:b/>
          <w:sz w:val="36"/>
          <w:szCs w:val="36"/>
          <w:u w:val="none"/>
        </w:rPr>
      </w:pPr>
      <w:r>
        <w:rPr>
          <w:rFonts w:hint="eastAsia" w:ascii="华文中宋" w:hAnsi="华文中宋" w:eastAsia="华文中宋" w:cs="新宋体"/>
          <w:b/>
          <w:sz w:val="36"/>
          <w:szCs w:val="36"/>
          <w:u w:val="none"/>
        </w:rPr>
        <w:t>国有企业开展产权登记、</w:t>
      </w:r>
      <w:r>
        <w:rPr>
          <w:rFonts w:hint="eastAsia" w:ascii="华文中宋" w:hAnsi="华文中宋" w:eastAsia="华文中宋" w:cs="新宋体"/>
          <w:b/>
          <w:sz w:val="36"/>
          <w:szCs w:val="36"/>
          <w:u w:val="none"/>
          <w:lang w:eastAsia="zh-CN"/>
        </w:rPr>
        <w:t>企业</w:t>
      </w:r>
      <w:r>
        <w:rPr>
          <w:rFonts w:hint="eastAsia" w:ascii="华文中宋" w:hAnsi="华文中宋" w:eastAsia="华文中宋" w:cs="新宋体"/>
          <w:b/>
          <w:sz w:val="36"/>
          <w:szCs w:val="36"/>
          <w:u w:val="none"/>
        </w:rPr>
        <w:t>登记</w:t>
      </w:r>
    </w:p>
    <w:p>
      <w:pPr>
        <w:spacing w:line="580" w:lineRule="exact"/>
        <w:jc w:val="center"/>
        <w:rPr>
          <w:rFonts w:hint="eastAsia" w:ascii="华文中宋" w:hAnsi="华文中宋" w:eastAsia="华文中宋" w:cs="新宋体"/>
          <w:b/>
          <w:sz w:val="36"/>
          <w:szCs w:val="36"/>
          <w:lang w:eastAsia="zh-CN"/>
        </w:rPr>
      </w:pPr>
      <w:r>
        <w:rPr>
          <w:rFonts w:hint="eastAsia" w:ascii="华文中宋" w:hAnsi="华文中宋" w:eastAsia="华文中宋" w:cs="新宋体"/>
          <w:b/>
          <w:sz w:val="36"/>
          <w:szCs w:val="36"/>
          <w:u w:val="none"/>
        </w:rPr>
        <w:t>联动监管</w:t>
      </w:r>
      <w:r>
        <w:rPr>
          <w:rFonts w:hint="eastAsia" w:ascii="华文中宋" w:hAnsi="华文中宋" w:eastAsia="华文中宋" w:cs="新宋体"/>
          <w:b/>
          <w:sz w:val="36"/>
          <w:szCs w:val="36"/>
        </w:rPr>
        <w:t>的通知</w:t>
      </w:r>
      <w:r>
        <w:rPr>
          <w:rFonts w:hint="eastAsia" w:ascii="华文中宋" w:hAnsi="华文中宋" w:eastAsia="华文中宋" w:cs="新宋体"/>
          <w:b/>
          <w:sz w:val="36"/>
          <w:szCs w:val="36"/>
          <w:lang w:eastAsia="zh-CN"/>
        </w:rPr>
        <w:t>（草案）》的起草说明</w:t>
      </w:r>
    </w:p>
    <w:p>
      <w:pPr>
        <w:spacing w:line="580" w:lineRule="exact"/>
        <w:jc w:val="center"/>
        <w:rPr>
          <w:rFonts w:hint="eastAsia" w:ascii="华文中宋" w:hAnsi="华文中宋" w:eastAsia="华文中宋" w:cs="新宋体"/>
          <w:b/>
          <w:sz w:val="36"/>
          <w:szCs w:val="36"/>
          <w:lang w:eastAsia="zh-CN"/>
        </w:rPr>
      </w:pPr>
      <w:bookmarkStart w:id="0" w:name="_GoBack"/>
      <w:bookmarkEnd w:id="0"/>
    </w:p>
    <w:p>
      <w:pPr>
        <w:spacing w:line="580" w:lineRule="exact"/>
        <w:ind w:firstLine="640" w:firstLineChars="200"/>
        <w:jc w:val="both"/>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我委与市市场监管局（原“市工商局”）于</w:t>
      </w:r>
      <w:r>
        <w:rPr>
          <w:rFonts w:hint="eastAsia" w:ascii="仿宋_GB2312" w:hAnsi="仿宋" w:eastAsia="仿宋_GB2312"/>
          <w:color w:val="auto"/>
          <w:sz w:val="32"/>
          <w:szCs w:val="32"/>
          <w:lang w:val="en-US" w:eastAsia="zh-CN"/>
        </w:rPr>
        <w:t>2018年</w:t>
      </w:r>
      <w:r>
        <w:rPr>
          <w:rFonts w:hint="eastAsia" w:ascii="仿宋_GB2312" w:hAnsi="仿宋" w:eastAsia="仿宋_GB2312"/>
          <w:sz w:val="32"/>
          <w:szCs w:val="32"/>
          <w:lang w:val="en-US" w:eastAsia="zh-CN"/>
        </w:rPr>
        <w:t>制订了《上海市国资委、市工商局关于对本市国有企业开展产权登记、工商登记联动监管的通知》（</w:t>
      </w:r>
      <w:r>
        <w:rPr>
          <w:rFonts w:hint="eastAsia" w:ascii="仿宋_GB2312" w:hAnsi="仿宋_GB2312" w:eastAsia="仿宋_GB2312" w:cs="仿宋_GB2312"/>
          <w:sz w:val="32"/>
          <w:szCs w:val="32"/>
          <w:lang w:eastAsia="zh-CN"/>
        </w:rPr>
        <w:t>沪国资委产权〔</w:t>
      </w:r>
      <w:r>
        <w:rPr>
          <w:rFonts w:hint="eastAsia" w:ascii="仿宋_GB2312" w:hAnsi="仿宋_GB2312" w:eastAsia="仿宋_GB2312" w:cs="仿宋_GB2312"/>
          <w:sz w:val="32"/>
          <w:szCs w:val="32"/>
          <w:lang w:val="en-US" w:eastAsia="zh-CN"/>
        </w:rPr>
        <w:t>2018〕171号，</w:t>
      </w:r>
      <w:r>
        <w:rPr>
          <w:rFonts w:hint="eastAsia" w:ascii="仿宋_GB2312" w:hAnsi="仿宋" w:eastAsia="仿宋_GB2312"/>
          <w:sz w:val="32"/>
          <w:szCs w:val="32"/>
          <w:lang w:val="en-US" w:eastAsia="zh-CN"/>
        </w:rPr>
        <w:t>以下简称：“原《通知》”）。经过多年的实践，为进一步以管资本为主加强国资监管，简化优化企业注册登记流程，经与市市场监管局协商一致，我们对原《通知》内容进行修订形成了《上海市国资委、市市场监管局关于对本市国有企业开展产权登记、企业登记联动监管的通知（草案）》（</w:t>
      </w:r>
      <w:r>
        <w:rPr>
          <w:rFonts w:hint="eastAsia" w:ascii="仿宋_GB2312" w:hAnsi="仿宋" w:eastAsia="仿宋_GB2312"/>
          <w:sz w:val="32"/>
          <w:szCs w:val="32"/>
        </w:rPr>
        <w:t>以下简称：</w:t>
      </w:r>
      <w:r>
        <w:rPr>
          <w:rFonts w:hint="eastAsia" w:ascii="仿宋_GB2312" w:hAnsi="仿宋" w:eastAsia="仿宋_GB2312"/>
          <w:sz w:val="32"/>
          <w:szCs w:val="32"/>
          <w:lang w:eastAsia="zh-CN"/>
        </w:rPr>
        <w:t>“</w:t>
      </w:r>
      <w:r>
        <w:rPr>
          <w:rFonts w:hint="eastAsia" w:ascii="仿宋_GB2312" w:hAnsi="仿宋" w:eastAsia="仿宋_GB2312"/>
          <w:sz w:val="32"/>
          <w:szCs w:val="32"/>
        </w:rPr>
        <w:t>《通知》</w:t>
      </w:r>
      <w:r>
        <w:rPr>
          <w:rFonts w:hint="eastAsia" w:ascii="仿宋_GB2312" w:hAnsi="仿宋" w:eastAsia="仿宋_GB2312"/>
          <w:sz w:val="32"/>
          <w:szCs w:val="32"/>
          <w:lang w:eastAsia="zh-CN"/>
        </w:rPr>
        <w:t>”</w:t>
      </w:r>
      <w:r>
        <w:rPr>
          <w:rFonts w:hint="eastAsia" w:ascii="仿宋_GB2312" w:hAnsi="仿宋" w:eastAsia="仿宋_GB2312"/>
          <w:sz w:val="32"/>
          <w:szCs w:val="32"/>
        </w:rPr>
        <w:t>）</w:t>
      </w:r>
      <w:r>
        <w:rPr>
          <w:rFonts w:hint="eastAsia" w:ascii="仿宋_GB2312" w:hAnsi="仿宋" w:eastAsia="仿宋_GB2312"/>
          <w:sz w:val="32"/>
          <w:szCs w:val="32"/>
          <w:lang w:eastAsia="zh-CN"/>
        </w:rPr>
        <w:t>，现对起草情况说明如下。</w:t>
      </w:r>
    </w:p>
    <w:p>
      <w:pPr>
        <w:spacing w:line="58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一、《通知》的修订背景及过程</w:t>
      </w:r>
    </w:p>
    <w:p>
      <w:pPr>
        <w:spacing w:line="580" w:lineRule="exact"/>
        <w:ind w:firstLine="640" w:firstLineChars="200"/>
        <w:rPr>
          <w:rFonts w:ascii="仿宋_GB2312" w:hAnsi="仿宋" w:eastAsia="仿宋_GB2312"/>
          <w:color w:val="FF0000"/>
          <w:sz w:val="32"/>
          <w:szCs w:val="32"/>
        </w:rPr>
      </w:pPr>
      <w:r>
        <w:rPr>
          <w:rFonts w:hint="eastAsia" w:ascii="仿宋_GB2312" w:hAnsi="仿宋" w:eastAsia="仿宋_GB2312"/>
          <w:sz w:val="32"/>
          <w:szCs w:val="32"/>
          <w:lang w:val="en-US" w:eastAsia="zh-CN"/>
        </w:rPr>
        <w:t>自2018年原《通知》实行以来，产权登记和市场主体登记联动工作得到了有效的贯彻，在加强国资监管、理清国资台账、摸清国资家底等方面发挥了巨大的作用。但在此期间，也出现了法律法规的新增、规范称呼的变更、产权登记凭证电子化水平的提高等新情况，也遇到了集体企业如何参照、有限合伙企业是否联动等新问题，因此，市国资委和市市场监管局</w:t>
      </w:r>
      <w:r>
        <w:rPr>
          <w:rFonts w:hint="eastAsia" w:ascii="仿宋_GB2312" w:hAnsi="仿宋_GB2312" w:eastAsia="仿宋_GB2312" w:cs="仿宋_GB2312"/>
          <w:sz w:val="32"/>
          <w:szCs w:val="32"/>
          <w:lang w:val="en-US" w:eastAsia="zh-CN"/>
        </w:rPr>
        <w:t>征求了有关主管部门、委托监管单位、区国资委、部分国有企业以及法律顾问等意见，并根据相关意见进行了多轮修订完善，形成了《通知》。</w:t>
      </w:r>
    </w:p>
    <w:p>
      <w:pPr>
        <w:spacing w:line="580" w:lineRule="exact"/>
        <w:ind w:firstLine="640" w:firstLineChars="200"/>
        <w:jc w:val="left"/>
        <w:rPr>
          <w:rFonts w:hint="default" w:ascii="仿宋_GB2312" w:hAnsi="仿宋" w:eastAsia="仿宋_GB2312"/>
          <w:color w:val="auto"/>
          <w:sz w:val="32"/>
          <w:szCs w:val="32"/>
          <w:lang w:val="en-US" w:eastAsia="zh-CN"/>
        </w:rPr>
      </w:pPr>
      <w:r>
        <w:rPr>
          <w:rFonts w:hint="eastAsia" w:ascii="黑体" w:hAnsi="仿宋" w:eastAsia="黑体"/>
          <w:color w:val="auto"/>
          <w:sz w:val="32"/>
          <w:szCs w:val="32"/>
          <w:lang w:val="en-US" w:eastAsia="zh-CN"/>
        </w:rPr>
        <w:t>二、</w:t>
      </w:r>
      <w:r>
        <w:rPr>
          <w:rFonts w:hint="eastAsia" w:ascii="黑体" w:hAnsi="仿宋" w:eastAsia="黑体"/>
          <w:color w:val="auto"/>
          <w:sz w:val="32"/>
          <w:szCs w:val="32"/>
        </w:rPr>
        <w:t>《通知》的</w:t>
      </w:r>
      <w:r>
        <w:rPr>
          <w:rFonts w:hint="eastAsia" w:ascii="黑体" w:hAnsi="仿宋" w:eastAsia="黑体"/>
          <w:color w:val="auto"/>
          <w:sz w:val="32"/>
          <w:szCs w:val="32"/>
          <w:lang w:eastAsia="zh-CN"/>
        </w:rPr>
        <w:t>修订思路和内容</w:t>
      </w:r>
    </w:p>
    <w:p>
      <w:pPr>
        <w:spacing w:line="580" w:lineRule="exact"/>
        <w:ind w:firstLine="640" w:firstLineChars="200"/>
        <w:jc w:val="left"/>
        <w:rPr>
          <w:rFonts w:hint="eastAsia" w:ascii="仿宋_GB2312" w:eastAsia="仿宋_GB2312"/>
          <w:color w:val="auto"/>
          <w:sz w:val="32"/>
          <w:szCs w:val="32"/>
          <w:lang w:eastAsia="zh-CN"/>
        </w:rPr>
      </w:pPr>
      <w:r>
        <w:rPr>
          <w:rFonts w:hint="eastAsia" w:ascii="仿宋_GB2312" w:hAnsi="仿宋_GB2312" w:eastAsia="仿宋_GB2312" w:cs="仿宋_GB2312"/>
          <w:sz w:val="32"/>
          <w:szCs w:val="32"/>
          <w:lang w:val="en-US" w:eastAsia="zh-CN"/>
        </w:rPr>
        <w:t>根据有关法律规范的变化，结合过去五年联动监管实施情况，进一步完善市国资委、市市场监管局产权登记、企业登记联动监管场景，优化联动监管做法，打通原联动监管中出现的堵点、难点，对</w:t>
      </w:r>
      <w:r>
        <w:rPr>
          <w:rFonts w:hint="eastAsia" w:ascii="仿宋_GB2312" w:hAnsi="仿宋" w:eastAsia="仿宋_GB2312"/>
          <w:sz w:val="32"/>
          <w:szCs w:val="32"/>
          <w:lang w:val="en-US" w:eastAsia="zh-CN"/>
        </w:rPr>
        <w:t>原《通知》进行修订，形成了现</w:t>
      </w:r>
      <w:r>
        <w:rPr>
          <w:rFonts w:hint="eastAsia" w:ascii="仿宋_GB2312" w:hAnsi="仿宋" w:eastAsia="仿宋_GB2312"/>
          <w:color w:val="auto"/>
          <w:sz w:val="32"/>
          <w:szCs w:val="32"/>
          <w:lang w:val="en-US" w:eastAsia="zh-CN"/>
        </w:rPr>
        <w:t>《通知》（草案）。</w:t>
      </w:r>
      <w:r>
        <w:rPr>
          <w:rFonts w:hint="eastAsia" w:ascii="仿宋_GB2312" w:eastAsia="仿宋_GB2312"/>
          <w:color w:val="auto"/>
          <w:sz w:val="32"/>
          <w:szCs w:val="32"/>
          <w:lang w:eastAsia="zh-CN"/>
        </w:rPr>
        <w:t>主要修订内容如下：</w:t>
      </w:r>
    </w:p>
    <w:p>
      <w:pPr>
        <w:spacing w:line="580" w:lineRule="exact"/>
        <w:ind w:firstLine="640" w:firstLineChars="200"/>
        <w:jc w:val="left"/>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（一）更新了相关规范性依据及表述</w:t>
      </w:r>
    </w:p>
    <w:p>
      <w:pPr>
        <w:spacing w:line="580" w:lineRule="exact"/>
        <w:ind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1.更新增加了有关依据文件。将2022年新出台的《中华人民共和国市场主体登记管理条例》（国务院令第746号）增加作为依据文件。</w:t>
      </w:r>
    </w:p>
    <w:p>
      <w:pPr>
        <w:spacing w:line="580" w:lineRule="exact"/>
        <w:ind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更新了相应的规范化称呼。将“市工商局”更新为“市市场监管局”，“工商登记”更新为“企业登记”，“工商变更”更新为“企业登记变更”，“工商（市场监管）部门”更新为“市场监管部门”，“国资委”更新为“国资监管机构”，将“上海市临港地区开发建设管理委员会”更新为“中国(上海)自由贸易试验区临港新片区管理委员会”。</w:t>
      </w:r>
    </w:p>
    <w:p>
      <w:pPr>
        <w:spacing w:line="580" w:lineRule="exact"/>
        <w:ind w:firstLine="640"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（二）进一步完善联动监管情形</w:t>
      </w:r>
    </w:p>
    <w:p>
      <w:pPr>
        <w:spacing w:line="580" w:lineRule="exact"/>
        <w:ind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在第三条中，增加明确“投资新设企业”纳入联动监管，以及“企业新设登记提交产权登记凭证上的名称为在国资监管机构办理产权登记时拟定的名称”“与市场监管部门登记的企业名称不一致的，在企业取得营业执照后向国资监管机构更新办理产权登记。”</w:t>
      </w:r>
    </w:p>
    <w:p>
      <w:pPr>
        <w:numPr>
          <w:ilvl w:val="0"/>
          <w:numId w:val="1"/>
        </w:numPr>
        <w:spacing w:line="580" w:lineRule="exact"/>
        <w:ind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在第四条中，将“涉及国务院国资委29号令规定的为交易目的等持有股权无需办理产权登记情形的”完善为“</w:t>
      </w:r>
      <w:r>
        <w:rPr>
          <w:rFonts w:hint="eastAsia" w:ascii="仿宋_GB2312" w:hAnsi="仿宋" w:eastAsia="仿宋_GB2312"/>
          <w:sz w:val="32"/>
          <w:szCs w:val="32"/>
        </w:rPr>
        <w:t>涉及国务院国资委29号令</w:t>
      </w:r>
      <w:r>
        <w:rPr>
          <w:rFonts w:hint="eastAsia" w:ascii="仿宋_GB2312" w:hAnsi="仿宋" w:eastAsia="仿宋_GB2312"/>
          <w:sz w:val="32"/>
          <w:szCs w:val="32"/>
          <w:lang w:eastAsia="zh-CN"/>
        </w:rPr>
        <w:t>等</w:t>
      </w:r>
      <w:r>
        <w:rPr>
          <w:rFonts w:hint="eastAsia" w:ascii="仿宋_GB2312" w:hAnsi="仿宋" w:eastAsia="仿宋_GB2312"/>
          <w:sz w:val="32"/>
          <w:szCs w:val="32"/>
        </w:rPr>
        <w:t>规定的为交易目的等持有股权</w:t>
      </w:r>
      <w:r>
        <w:rPr>
          <w:rFonts w:hint="eastAsia" w:ascii="仿宋_GB2312" w:hAnsi="仿宋" w:eastAsia="仿宋_GB2312"/>
          <w:sz w:val="32"/>
          <w:szCs w:val="32"/>
          <w:lang w:eastAsia="zh-CN"/>
        </w:rPr>
        <w:t>或根据有关安排</w:t>
      </w:r>
      <w:r>
        <w:rPr>
          <w:rFonts w:hint="eastAsia" w:ascii="仿宋_GB2312" w:hAnsi="仿宋" w:eastAsia="仿宋_GB2312"/>
          <w:sz w:val="32"/>
          <w:szCs w:val="32"/>
        </w:rPr>
        <w:t>无需</w:t>
      </w:r>
      <w:r>
        <w:rPr>
          <w:rFonts w:hint="eastAsia" w:ascii="仿宋_GB2312" w:hAnsi="仿宋" w:eastAsia="仿宋_GB2312"/>
          <w:sz w:val="32"/>
          <w:szCs w:val="32"/>
          <w:lang w:eastAsia="zh-CN"/>
        </w:rPr>
        <w:t>或暂缓</w:t>
      </w:r>
      <w:r>
        <w:rPr>
          <w:rFonts w:hint="eastAsia" w:ascii="仿宋_GB2312" w:hAnsi="仿宋" w:eastAsia="仿宋_GB2312"/>
          <w:sz w:val="32"/>
          <w:szCs w:val="32"/>
        </w:rPr>
        <w:t>办理产权登记的</w:t>
      </w:r>
      <w:r>
        <w:rPr>
          <w:rFonts w:hint="eastAsia" w:ascii="仿宋_GB2312" w:eastAsia="仿宋_GB2312"/>
          <w:color w:val="auto"/>
          <w:sz w:val="32"/>
          <w:szCs w:val="32"/>
          <w:lang w:val="en-US" w:eastAsia="zh-CN"/>
        </w:rPr>
        <w:t>”，表述更加完整，能更好地覆盖个别特殊情况。</w:t>
      </w:r>
    </w:p>
    <w:p>
      <w:pPr>
        <w:numPr>
          <w:ilvl w:val="0"/>
          <w:numId w:val="1"/>
        </w:numPr>
        <w:spacing w:line="580" w:lineRule="exact"/>
        <w:ind w:firstLine="640" w:firstLineChars="200"/>
        <w:jc w:val="lef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在第五条中，增加明确市属集体企业联动监管的方式“市属集体所有制企业的主管部门或监管关系发生变动的，以国资监管机构或其他主管（监管）部门出具的批复或确认文件作为变动登记凭证。”</w:t>
      </w:r>
    </w:p>
    <w:p>
      <w:pPr>
        <w:spacing w:line="580" w:lineRule="exact"/>
        <w:ind w:firstLine="640"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（三）推进电子表证的应用</w:t>
      </w:r>
    </w:p>
    <w:p>
      <w:pPr>
        <w:spacing w:line="580" w:lineRule="exact"/>
        <w:ind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鉴于本市已全面推行企业产权登记表电子证照，根据《中华人民共和国市场主体登记管理条例》等有关文件精神及本市“两个免于提交”有关规范，进一步提高监管效率、优化营商环境，第三条增加了“市场监管部门能通过本市‘一网通办’调用电子表证的，企业可免于提交”的内容。</w:t>
      </w:r>
    </w:p>
    <w:p>
      <w:pPr>
        <w:spacing w:line="580" w:lineRule="exact"/>
        <w:ind w:firstLine="640" w:firstLineChars="200"/>
        <w:jc w:val="left"/>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（四）结合了新情况、新问题</w:t>
      </w:r>
    </w:p>
    <w:p>
      <w:pPr>
        <w:spacing w:line="580" w:lineRule="exact"/>
        <w:ind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1.根据有关变化，在发文对象上新增了“受托监管企业、</w:t>
      </w:r>
      <w:r>
        <w:rPr>
          <w:rFonts w:hint="eastAsia" w:ascii="仿宋_GB2312" w:hAnsi="仿宋" w:eastAsia="仿宋_GB2312"/>
          <w:sz w:val="32"/>
          <w:szCs w:val="32"/>
          <w:u w:val="none"/>
          <w:lang w:eastAsia="zh-CN"/>
        </w:rPr>
        <w:t>临港新片区市场监管局</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lang w:val="en-US" w:eastAsia="zh-CN"/>
        </w:rPr>
        <w:t>。</w:t>
      </w:r>
    </w:p>
    <w:p>
      <w:pPr>
        <w:spacing w:line="580" w:lineRule="exact"/>
        <w:ind w:firstLine="640" w:firstLineChars="200"/>
        <w:jc w:val="both"/>
        <w:rPr>
          <w:rFonts w:hint="default" w:ascii="仿宋_GB2312" w:eastAsia="仿宋_GB2312"/>
          <w:color w:val="auto"/>
          <w:sz w:val="32"/>
          <w:szCs w:val="32"/>
          <w:highlight w:val="yellow"/>
          <w:lang w:val="en-US" w:eastAsia="zh-CN"/>
        </w:rPr>
      </w:pPr>
      <w:r>
        <w:rPr>
          <w:rFonts w:hint="eastAsia" w:ascii="仿宋_GB2312" w:eastAsia="仿宋_GB2312"/>
          <w:color w:val="auto"/>
          <w:sz w:val="32"/>
          <w:szCs w:val="32"/>
          <w:lang w:val="en-US" w:eastAsia="zh-CN"/>
        </w:rPr>
        <w:t>2.根据《市场监管总局登记注册局关于更新</w:t>
      </w:r>
      <w:r>
        <w:rPr>
          <w:rFonts w:hint="eastAsia" w:ascii="汉仪平安行粗简" w:hAnsi="汉仪平安行粗简" w:eastAsia="汉仪平安行粗简" w:cs="汉仪平安行粗简"/>
          <w:color w:val="auto"/>
          <w:sz w:val="32"/>
          <w:szCs w:val="32"/>
          <w:lang w:val="en-US" w:eastAsia="zh-CN"/>
        </w:rPr>
        <w:t>〈</w:t>
      </w:r>
      <w:r>
        <w:rPr>
          <w:rFonts w:hint="eastAsia" w:ascii="仿宋_GB2312" w:eastAsia="仿宋_GB2312"/>
          <w:color w:val="auto"/>
          <w:sz w:val="32"/>
          <w:szCs w:val="32"/>
          <w:lang w:val="en-US" w:eastAsia="zh-CN"/>
        </w:rPr>
        <w:t>市场主体登记材料规范</w:t>
      </w:r>
      <w:r>
        <w:rPr>
          <w:rFonts w:hint="eastAsia" w:ascii="仿宋_GB2312" w:hAnsi="仿宋_GB2312" w:eastAsia="仿宋_GB2312" w:cs="仿宋_GB2312"/>
          <w:color w:val="auto"/>
          <w:sz w:val="32"/>
          <w:szCs w:val="32"/>
          <w:lang w:val="en-US" w:eastAsia="zh-CN"/>
        </w:rPr>
        <w:t>&gt;</w:t>
      </w:r>
      <w:r>
        <w:rPr>
          <w:rFonts w:hint="eastAsia" w:ascii="汉仪平安行粗简" w:hAnsi="汉仪平安行粗简" w:eastAsia="汉仪平安行粗简" w:cs="汉仪平安行粗简"/>
          <w:color w:val="auto"/>
          <w:sz w:val="32"/>
          <w:szCs w:val="32"/>
          <w:lang w:val="en-US" w:eastAsia="zh-CN"/>
        </w:rPr>
        <w:t>〈</w:t>
      </w:r>
      <w:r>
        <w:rPr>
          <w:rFonts w:hint="eastAsia" w:ascii="仿宋_GB2312" w:eastAsia="仿宋_GB2312"/>
          <w:color w:val="auto"/>
          <w:sz w:val="32"/>
          <w:szCs w:val="32"/>
          <w:lang w:val="en-US" w:eastAsia="zh-CN"/>
        </w:rPr>
        <w:t>市场主体登记文书规范</w:t>
      </w:r>
      <w:r>
        <w:rPr>
          <w:rFonts w:hint="eastAsia" w:ascii="仿宋_GB2312" w:hAnsi="仿宋_GB2312" w:eastAsia="仿宋_GB2312" w:cs="仿宋_GB2312"/>
          <w:color w:val="auto"/>
          <w:sz w:val="32"/>
          <w:szCs w:val="32"/>
          <w:lang w:val="en-US" w:eastAsia="zh-CN"/>
        </w:rPr>
        <w:t>&gt;的通知</w:t>
      </w:r>
      <w:r>
        <w:rPr>
          <w:rFonts w:hint="eastAsia" w:ascii="仿宋_GB2312" w:eastAsia="仿宋_GB2312"/>
          <w:color w:val="auto"/>
          <w:sz w:val="32"/>
          <w:szCs w:val="32"/>
          <w:lang w:val="en-US" w:eastAsia="zh-CN"/>
        </w:rPr>
        <w:t>》（市监注（司）函</w:t>
      </w:r>
      <w:r>
        <w:rPr>
          <w:rFonts w:hint="eastAsia" w:ascii="方正隶书_GBK" w:hAnsi="方正隶书_GBK" w:eastAsia="方正隶书_GBK" w:cs="方正隶书_GBK"/>
          <w:color w:val="auto"/>
          <w:sz w:val="32"/>
          <w:szCs w:val="32"/>
          <w:lang w:val="en-US" w:eastAsia="zh-CN"/>
        </w:rPr>
        <w:t>〔</w:t>
      </w:r>
      <w:r>
        <w:rPr>
          <w:rFonts w:hint="eastAsia" w:ascii="仿宋_GB2312" w:hAnsi="Times New Roman" w:eastAsia="仿宋_GB2312" w:cs="Times New Roman"/>
          <w:color w:val="auto"/>
          <w:sz w:val="32"/>
          <w:szCs w:val="32"/>
          <w:lang w:val="en-US" w:eastAsia="zh-CN"/>
        </w:rPr>
        <w:t>2</w:t>
      </w:r>
      <w:r>
        <w:rPr>
          <w:rFonts w:hint="eastAsia" w:ascii="仿宋_GB2312" w:eastAsia="仿宋_GB2312"/>
          <w:color w:val="auto"/>
          <w:sz w:val="32"/>
          <w:szCs w:val="32"/>
          <w:lang w:val="en-US" w:eastAsia="zh-CN"/>
        </w:rPr>
        <w:t>022</w:t>
      </w:r>
      <w:r>
        <w:rPr>
          <w:rFonts w:hint="eastAsia" w:ascii="方正隶书_GBK" w:hAnsi="方正隶书_GBK" w:eastAsia="方正隶书_GBK" w:cs="方正隶书_GBK"/>
          <w:color w:val="auto"/>
          <w:sz w:val="32"/>
          <w:szCs w:val="32"/>
          <w:lang w:val="en-US" w:eastAsia="zh-CN"/>
        </w:rPr>
        <w:t>〕</w:t>
      </w:r>
      <w:r>
        <w:rPr>
          <w:rFonts w:hint="eastAsia" w:ascii="仿宋_GB2312" w:eastAsia="仿宋_GB2312"/>
          <w:color w:val="auto"/>
          <w:sz w:val="32"/>
          <w:szCs w:val="32"/>
          <w:lang w:val="en-US" w:eastAsia="zh-CN"/>
        </w:rPr>
        <w:t>169号），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因此，</w:t>
      </w:r>
      <w:r>
        <w:rPr>
          <w:rFonts w:hint="eastAsia" w:ascii="仿宋_GB2312" w:eastAsia="仿宋_GB2312"/>
          <w:color w:val="auto"/>
          <w:sz w:val="32"/>
          <w:szCs w:val="32"/>
          <w:highlight w:val="none"/>
          <w:lang w:val="en-US" w:eastAsia="zh-CN"/>
        </w:rPr>
        <w:t>删除了企业办理变更登记或备案时，不再需要提交“国资监管部门的无偿划转批复”的表述。</w:t>
      </w:r>
    </w:p>
    <w:p>
      <w:pPr>
        <w:spacing w:line="580" w:lineRule="exact"/>
        <w:ind w:firstLine="640" w:firstLineChars="200"/>
        <w:jc w:val="lef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3.考虑到有限合伙企业国有权益管理的相关政策规定还在持续完善和更新中，因此在第七条中新增“有限合伙企业的联动监管待有相关规定明确后实施”。</w:t>
      </w:r>
    </w:p>
    <w:p>
      <w:pPr>
        <w:numPr>
          <w:ilvl w:val="0"/>
          <w:numId w:val="2"/>
        </w:numPr>
        <w:spacing w:line="580" w:lineRule="exact"/>
        <w:ind w:firstLine="640" w:firstLineChars="200"/>
        <w:jc w:val="left"/>
        <w:rPr>
          <w:rFonts w:hint="eastAsia" w:ascii="黑体" w:hAnsi="仿宋" w:eastAsia="黑体"/>
          <w:color w:val="auto"/>
          <w:sz w:val="32"/>
          <w:szCs w:val="32"/>
          <w:lang w:eastAsia="zh-CN"/>
        </w:rPr>
      </w:pPr>
      <w:r>
        <w:rPr>
          <w:rFonts w:hint="eastAsia" w:ascii="黑体" w:hAnsi="仿宋" w:eastAsia="黑体"/>
          <w:color w:val="auto"/>
          <w:sz w:val="32"/>
          <w:szCs w:val="32"/>
        </w:rPr>
        <w:t>《通知》的</w:t>
      </w:r>
      <w:r>
        <w:rPr>
          <w:rFonts w:hint="eastAsia" w:ascii="黑体" w:hAnsi="仿宋" w:eastAsia="黑体"/>
          <w:color w:val="auto"/>
          <w:sz w:val="32"/>
          <w:szCs w:val="32"/>
          <w:lang w:eastAsia="zh-CN"/>
        </w:rPr>
        <w:t>主要内容</w:t>
      </w:r>
    </w:p>
    <w:p>
      <w:pPr>
        <w:numPr>
          <w:ilvl w:val="-1"/>
          <w:numId w:val="0"/>
        </w:numPr>
        <w:spacing w:line="580" w:lineRule="exact"/>
        <w:ind w:firstLine="640" w:firstLineChars="0"/>
        <w:jc w:val="left"/>
        <w:rPr>
          <w:rFonts w:hint="eastAsia" w:ascii="仿宋_GB2312" w:eastAsia="仿宋_GB2312"/>
          <w:color w:val="auto"/>
          <w:sz w:val="32"/>
          <w:szCs w:val="32"/>
          <w:lang w:eastAsia="zh-CN"/>
        </w:rPr>
      </w:pPr>
      <w:r>
        <w:rPr>
          <w:rFonts w:hint="eastAsia" w:ascii="仿宋_GB2312" w:hAnsi="仿宋" w:eastAsia="仿宋_GB2312"/>
          <w:color w:val="auto"/>
          <w:sz w:val="32"/>
          <w:szCs w:val="32"/>
          <w:lang w:val="en-US" w:eastAsia="zh-CN"/>
        </w:rPr>
        <w:t>《通知》沿用了原有的框架和主要内容，</w:t>
      </w:r>
      <w:r>
        <w:rPr>
          <w:rFonts w:hint="eastAsia" w:ascii="仿宋_GB2312" w:eastAsia="仿宋_GB2312"/>
          <w:color w:val="auto"/>
          <w:sz w:val="32"/>
          <w:szCs w:val="32"/>
        </w:rPr>
        <w:t>包括联动监管的意义、监管对象和情形、监管程序、工作要求等四方面八条内容</w:t>
      </w:r>
      <w:r>
        <w:rPr>
          <w:rFonts w:hint="eastAsia" w:ascii="仿宋_GB2312" w:eastAsia="仿宋_GB2312"/>
          <w:color w:val="auto"/>
          <w:sz w:val="32"/>
          <w:szCs w:val="32"/>
          <w:lang w:eastAsia="zh-CN"/>
        </w:rPr>
        <w:t>，主要内容如下：</w:t>
      </w:r>
    </w:p>
    <w:p>
      <w:pPr>
        <w:numPr>
          <w:ilvl w:val="-1"/>
          <w:numId w:val="0"/>
        </w:numPr>
        <w:spacing w:line="580" w:lineRule="exact"/>
        <w:ind w:firstLine="640" w:firstLineChars="0"/>
        <w:jc w:val="left"/>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第一条</w:t>
      </w:r>
      <w:r>
        <w:rPr>
          <w:rFonts w:hint="eastAsia" w:ascii="仿宋_GB2312" w:eastAsia="仿宋_GB2312"/>
          <w:color w:val="auto"/>
          <w:sz w:val="32"/>
          <w:szCs w:val="32"/>
          <w:lang w:val="en-US" w:eastAsia="zh-CN"/>
        </w:rPr>
        <w:t>明确了联动监管的意义。</w:t>
      </w:r>
    </w:p>
    <w:p>
      <w:pPr>
        <w:numPr>
          <w:ilvl w:val="-1"/>
          <w:numId w:val="0"/>
        </w:numPr>
        <w:spacing w:line="580" w:lineRule="exact"/>
        <w:ind w:firstLine="640" w:firstLineChars="0"/>
        <w:jc w:val="left"/>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第二条</w:t>
      </w:r>
      <w:r>
        <w:rPr>
          <w:rFonts w:hint="eastAsia" w:ascii="仿宋_GB2312" w:eastAsia="仿宋_GB2312"/>
          <w:color w:val="auto"/>
          <w:sz w:val="32"/>
          <w:szCs w:val="32"/>
          <w:lang w:val="en-US" w:eastAsia="zh-CN"/>
        </w:rPr>
        <w:t>明确了联动监管的对象，是依据国务院国资委令第29号确定。以及本市国资监管机构与市场监管局在市级层面建立和优化联动监管信息共享机制。</w:t>
      </w:r>
    </w:p>
    <w:p>
      <w:pPr>
        <w:numPr>
          <w:ilvl w:val="-1"/>
          <w:numId w:val="0"/>
        </w:numPr>
        <w:spacing w:line="580" w:lineRule="exact"/>
        <w:ind w:firstLine="640" w:firstLineChars="0"/>
        <w:jc w:val="left"/>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第三条至第五条</w:t>
      </w:r>
      <w:r>
        <w:rPr>
          <w:rFonts w:hint="eastAsia" w:ascii="仿宋_GB2312" w:eastAsia="仿宋_GB2312"/>
          <w:color w:val="auto"/>
          <w:sz w:val="32"/>
          <w:szCs w:val="32"/>
          <w:lang w:val="en-US" w:eastAsia="zh-CN"/>
        </w:rPr>
        <w:t>明确了联动监管的情形、以及联动监管的程序。对有产权登记电子表证的、可以暂缓办理产权登记的、集体所有制企业等联动监管方式予以完善明确。</w:t>
      </w:r>
    </w:p>
    <w:p>
      <w:pPr>
        <w:numPr>
          <w:ilvl w:val="-1"/>
          <w:numId w:val="0"/>
        </w:numPr>
        <w:spacing w:line="580" w:lineRule="exact"/>
        <w:ind w:firstLine="640" w:firstLineChars="0"/>
        <w:jc w:val="left"/>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第六条</w:t>
      </w:r>
      <w:r>
        <w:rPr>
          <w:rFonts w:hint="eastAsia" w:ascii="仿宋_GB2312" w:eastAsia="仿宋_GB2312"/>
          <w:color w:val="auto"/>
          <w:sz w:val="32"/>
          <w:szCs w:val="32"/>
          <w:lang w:val="en-US" w:eastAsia="zh-CN"/>
        </w:rPr>
        <w:t>明确对市国资委监管企业、受托监管企业、委托监管单位提出应根据通知要求优化机制、加强管理等要求。</w:t>
      </w:r>
    </w:p>
    <w:p>
      <w:pPr>
        <w:numPr>
          <w:ilvl w:val="-1"/>
          <w:numId w:val="0"/>
        </w:numPr>
        <w:spacing w:line="580" w:lineRule="exact"/>
        <w:ind w:firstLine="640" w:firstLineChars="0"/>
        <w:jc w:val="left"/>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第七条</w:t>
      </w:r>
      <w:r>
        <w:rPr>
          <w:rFonts w:hint="eastAsia" w:ascii="仿宋_GB2312" w:eastAsia="仿宋_GB2312"/>
          <w:color w:val="auto"/>
          <w:sz w:val="32"/>
          <w:szCs w:val="32"/>
          <w:lang w:val="en-US" w:eastAsia="zh-CN"/>
        </w:rPr>
        <w:t>明确集体资产联动监管参照实施，以及有限合伙企业的联动监管待有相关规定明确后实施。</w:t>
      </w:r>
    </w:p>
    <w:p>
      <w:pPr>
        <w:numPr>
          <w:ilvl w:val="-1"/>
          <w:numId w:val="0"/>
        </w:numPr>
        <w:spacing w:line="580" w:lineRule="exact"/>
        <w:ind w:firstLine="640" w:firstLineChars="0"/>
        <w:jc w:val="left"/>
        <w:rPr>
          <w:rFonts w:hint="default"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第八条</w:t>
      </w:r>
      <w:r>
        <w:rPr>
          <w:rFonts w:hint="eastAsia" w:ascii="仿宋_GB2312" w:eastAsia="仿宋_GB2312"/>
          <w:color w:val="auto"/>
          <w:sz w:val="32"/>
          <w:szCs w:val="32"/>
          <w:lang w:val="en-US" w:eastAsia="zh-CN"/>
        </w:rPr>
        <w:t>明确了解释权和实施日期。</w:t>
      </w:r>
    </w:p>
    <w:p>
      <w:pPr>
        <w:spacing w:line="580" w:lineRule="exact"/>
        <w:ind w:firstLine="640" w:firstLineChars="200"/>
        <w:jc w:val="left"/>
        <w:rPr>
          <w:rFonts w:hint="eastAsia" w:ascii="仿宋_GB2312" w:eastAsia="仿宋_GB2312"/>
          <w:color w:val="auto"/>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新宋体">
    <w:altName w:val="方正书宋_GBK"/>
    <w:panose1 w:val="02010609030101010101"/>
    <w:charset w:val="86"/>
    <w:family w:val="modern"/>
    <w:pitch w:val="default"/>
    <w:sig w:usb0="00000000" w:usb1="0000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平安行粗简">
    <w:panose1 w:val="00020600040101010101"/>
    <w:charset w:val="86"/>
    <w:family w:val="auto"/>
    <w:pitch w:val="default"/>
    <w:sig w:usb0="A00002BF" w:usb1="18EF7CFA" w:usb2="00000016"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AA221"/>
    <w:multiLevelType w:val="singleLevel"/>
    <w:tmpl w:val="CFBAA221"/>
    <w:lvl w:ilvl="0" w:tentative="0">
      <w:start w:val="2"/>
      <w:numFmt w:val="decimal"/>
      <w:lvlText w:val="%1."/>
      <w:lvlJc w:val="left"/>
      <w:pPr>
        <w:tabs>
          <w:tab w:val="left" w:pos="312"/>
        </w:tabs>
      </w:pPr>
    </w:lvl>
  </w:abstractNum>
  <w:abstractNum w:abstractNumId="1">
    <w:nsid w:val="F76DFF05"/>
    <w:multiLevelType w:val="singleLevel"/>
    <w:tmpl w:val="F76DFF0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15D5C"/>
    <w:rsid w:val="03C33F05"/>
    <w:rsid w:val="070E0716"/>
    <w:rsid w:val="09A842FA"/>
    <w:rsid w:val="0F3B2ABD"/>
    <w:rsid w:val="105E31CE"/>
    <w:rsid w:val="122D32C0"/>
    <w:rsid w:val="140335E1"/>
    <w:rsid w:val="167F7653"/>
    <w:rsid w:val="16B43F12"/>
    <w:rsid w:val="172C735F"/>
    <w:rsid w:val="18D2169E"/>
    <w:rsid w:val="19F15221"/>
    <w:rsid w:val="1AAD774F"/>
    <w:rsid w:val="207F3697"/>
    <w:rsid w:val="28000C88"/>
    <w:rsid w:val="2D403FD2"/>
    <w:rsid w:val="2DBC102A"/>
    <w:rsid w:val="2FE9340F"/>
    <w:rsid w:val="35270743"/>
    <w:rsid w:val="363D2F2A"/>
    <w:rsid w:val="3B5C4342"/>
    <w:rsid w:val="43725BCA"/>
    <w:rsid w:val="442D55C9"/>
    <w:rsid w:val="461D3E47"/>
    <w:rsid w:val="49277F3E"/>
    <w:rsid w:val="4C0F0D70"/>
    <w:rsid w:val="4D2845D0"/>
    <w:rsid w:val="5322097C"/>
    <w:rsid w:val="55FE9D24"/>
    <w:rsid w:val="56A07AEB"/>
    <w:rsid w:val="57EE58D7"/>
    <w:rsid w:val="58554C96"/>
    <w:rsid w:val="5B400E61"/>
    <w:rsid w:val="610236C3"/>
    <w:rsid w:val="63694ADD"/>
    <w:rsid w:val="63F3D375"/>
    <w:rsid w:val="67FFB228"/>
    <w:rsid w:val="6FEF5661"/>
    <w:rsid w:val="738B47FD"/>
    <w:rsid w:val="758E0282"/>
    <w:rsid w:val="79271001"/>
    <w:rsid w:val="7CDB2458"/>
    <w:rsid w:val="7D439717"/>
    <w:rsid w:val="7D8C341E"/>
    <w:rsid w:val="7EF34D66"/>
    <w:rsid w:val="7EF7F158"/>
    <w:rsid w:val="7FF5F3AD"/>
    <w:rsid w:val="8FEB9DC2"/>
    <w:rsid w:val="BF6FE9CC"/>
    <w:rsid w:val="BFC83EAE"/>
    <w:rsid w:val="DD03F18E"/>
    <w:rsid w:val="EF6D5B3E"/>
    <w:rsid w:val="F5B55F76"/>
    <w:rsid w:val="FCADF28E"/>
    <w:rsid w:val="FF2EF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仿宋"/>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2023-12-07T18:27:00Z</dcterms:created>
  <dc:creator>user</dc:creator>
  <cp:lastModifiedBy>吕</cp:lastModifiedBy>
  <cp:lastPrinted>2023-12-14T01:12:00Z</cp:lastPrinted>
  <dcterms:modified xsi:type="dcterms:W3CDTF">2023-12-13T13:01:30Z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